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" w:firstLineChars="50"/>
        <w:jc w:val="center"/>
        <w:rPr>
          <w:rFonts w:hint="eastAsia" w:ascii="宋体" w:hAnsi="宋体" w:eastAsia="宋体" w:cs="宋体"/>
          <w:b/>
          <w:bCs/>
          <w:i w:val="0"/>
          <w:iCs w:val="0"/>
          <w:sz w:val="48"/>
          <w:szCs w:val="48"/>
        </w:rPr>
      </w:pPr>
      <w:r>
        <w:rPr>
          <w:rFonts w:hint="eastAsia" w:ascii="宋体" w:hAnsi="宋体" w:cs="宋体"/>
          <w:b/>
          <w:bCs/>
          <w:i w:val="0"/>
          <w:iCs w:val="0"/>
          <w:sz w:val="48"/>
          <w:szCs w:val="48"/>
          <w:lang w:eastAsia="zh-CN"/>
        </w:rPr>
        <w:t>德钦县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sz w:val="48"/>
          <w:szCs w:val="48"/>
          <w:lang w:eastAsia="zh-CN"/>
        </w:rPr>
        <w:t>文化和旅游局</w:t>
      </w:r>
      <w:r>
        <w:rPr>
          <w:rFonts w:hint="eastAsia" w:ascii="宋体" w:hAnsi="宋体" w:eastAsia="宋体" w:cs="宋体"/>
          <w:b/>
          <w:bCs/>
          <w:i w:val="0"/>
          <w:iCs w:val="0"/>
          <w:sz w:val="48"/>
          <w:szCs w:val="48"/>
        </w:rPr>
        <w:t>简报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 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文化和旅游局行业管理股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第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期    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</w:rPr>
        <w:t xml:space="preserve">日      </w:t>
      </w:r>
    </w:p>
    <w:p>
      <w:pPr>
        <w:spacing w:line="22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pict>
          <v:rect id="_x0000_i1025" o:spt="1" style="height:1.5pt;width:0.05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610" w:lineRule="atLeast"/>
        <w:ind w:firstLine="640" w:firstLineChars="200"/>
        <w:jc w:val="left"/>
        <w:rPr>
          <w:rFonts w:ascii="仿宋" w:hAnsi="仿宋" w:eastAsia="仿宋" w:cs="Arial"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云南省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《旅行社等级划分与评定》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标准有关规定，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对我县辖区内的两家旅行社进行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星级复核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工作。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年2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德钦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旅行社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星级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评定委员会全面启动星级复核工作。201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年度星级复核的旅行社共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一星级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旅行社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Arial"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89780" cy="3442335"/>
            <wp:effectExtent l="0" t="0" r="1270" b="5715"/>
            <wp:docPr id="3" name="图片 3" descr="e63bdd1a70c258896be5e550f42b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3bdd1a70c258896be5e550f42b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Arial"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610" w:lineRule="atLeast"/>
        <w:ind w:firstLine="320" w:firstLineChars="100"/>
        <w:jc w:val="left"/>
        <w:rPr>
          <w:rFonts w:ascii="仿宋" w:hAnsi="仿宋" w:eastAsia="仿宋" w:cs="Arial"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此次星级复核严格依照云南省《旅行社等级划分与评定》的标准，以听取汇报、实地检查、查阅资料、现场打分、反馈意见、下达整改意见等规范程序进行。复核人员重点查看受检旅行社的规章制度、团队档案、财务分析报告、宣传资料、购买“云南旅游安全组合保险”情况等，检查经营场所氛围及企业整体形象，以星级评定的要求和标准进行星级复核，确保星级复核的实际效果。</w:t>
      </w:r>
    </w:p>
    <w:p>
      <w:pPr>
        <w:widowControl/>
        <w:shd w:val="clear" w:color="auto" w:fill="FFFFFF"/>
        <w:spacing w:line="610" w:lineRule="atLeast"/>
        <w:jc w:val="left"/>
        <w:rPr>
          <w:rFonts w:ascii="华文楷体" w:hAnsi="华文楷体" w:eastAsia="华文楷体" w:cs="Arial"/>
          <w:b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Arial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华文楷体" w:hAnsi="华文楷体" w:eastAsia="华文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、存在问题</w:t>
      </w:r>
    </w:p>
    <w:p>
      <w:pPr>
        <w:widowControl/>
        <w:shd w:val="clear" w:color="auto" w:fill="FFFFFF"/>
        <w:spacing w:line="610" w:lineRule="atLeast"/>
        <w:ind w:firstLine="640"/>
        <w:jc w:val="left"/>
        <w:rPr>
          <w:rFonts w:hint="eastAsia" w:ascii="仿宋" w:hAnsi="仿宋" w:eastAsia="仿宋" w:cs="Arial"/>
          <w:color w:val="000000" w:themeColor="text1"/>
          <w:kern w:val="0"/>
          <w:sz w:val="14"/>
          <w:szCs w:val="1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、不注重员工培训。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、不注重企业文化建设。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、不注重产品研发。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、不注重企业品牌建设及产品营销，企业品牌建设及管理滞后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、旅行社对复核工作重视不够，缺乏主动性和积极性，台帐资料较为零乱，企业整体形象和实力没有得到较好提升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、从业人员劳动合同签订率普遍偏低，主要原因是导游人员因涉及养老保险费上缴，不愿意与所属旅行社签订劳动合同。</w:t>
      </w:r>
      <w:r>
        <w:rPr>
          <w:rFonts w:hint="eastAsia" w:ascii="仿宋" w:hAnsi="仿宋" w:eastAsia="仿宋" w:cs="Arial"/>
          <w:color w:val="000000" w:themeColor="text1"/>
          <w:kern w:val="0"/>
          <w:sz w:val="14"/>
          <w:szCs w:val="1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10075" cy="3307715"/>
            <wp:effectExtent l="0" t="0" r="9525" b="6985"/>
            <wp:docPr id="4" name="图片 4" descr="7c39143be0b18f557656fb7addf5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39143be0b18f557656fb7addf5a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610" w:lineRule="atLeast"/>
        <w:ind w:firstLine="640"/>
        <w:jc w:val="left"/>
        <w:rPr>
          <w:rFonts w:ascii="华文楷体" w:hAnsi="华文楷体" w:eastAsia="华文楷体" w:cs="Arial"/>
          <w:b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Arial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华文楷体" w:hAnsi="华文楷体" w:eastAsia="华文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、改进措施</w:t>
      </w:r>
    </w:p>
    <w:p>
      <w:pPr>
        <w:widowControl/>
        <w:shd w:val="clear" w:color="auto" w:fill="FFFFFF"/>
        <w:spacing w:line="610" w:lineRule="atLeast"/>
        <w:ind w:firstLine="640"/>
        <w:jc w:val="left"/>
        <w:rPr>
          <w:rFonts w:ascii="仿宋" w:hAnsi="仿宋" w:eastAsia="仿宋" w:cs="Arial"/>
          <w:color w:val="000000" w:themeColor="text1"/>
          <w:kern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是要坚持标准，确保经营场地面积、办公场所及经营门店装修、员工职业形象和企业形象标识等达到相应星级标准的要求；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是要提升综合素质，加强对员工的培训教育，提升员工综合素质和职业化程度，提高旅行社的整体服务水平;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要注重产品种类与深度开发，推出富有特色的产品，形成自己的品牌优势，拥有较高的顾客品牌忠诚度，是旅行社具有长远发展的生命力。四是要加强企业内部管理，按照系统化、规范化的要求，完善各项管理制度，严格执行旅游服务行业的各项行业标准。</w:t>
      </w:r>
    </w:p>
    <w:p>
      <w:pPr>
        <w:pStyle w:val="2"/>
        <w:spacing w:before="0" w:beforeAutospacing="0" w:after="0" w:afterAutospacing="0" w:line="260" w:lineRule="atLeast"/>
        <w:ind w:firstLine="160" w:firstLineChars="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260" w:lineRule="atLeast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680" w:firstLineChars="13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4680" w:firstLineChars="13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德钦县文化和旅游局</w:t>
      </w:r>
    </w:p>
    <w:p>
      <w:pPr>
        <w:bidi w:val="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 </w:t>
      </w:r>
    </w:p>
    <w:p>
      <w:pPr>
        <w:bidi w:val="0"/>
        <w:ind w:firstLine="5040" w:firstLineChars="14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2019年2月17日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611C"/>
    <w:rsid w:val="00D94DCB"/>
    <w:rsid w:val="01A9677A"/>
    <w:rsid w:val="01F720D7"/>
    <w:rsid w:val="035F00FD"/>
    <w:rsid w:val="03B464BA"/>
    <w:rsid w:val="06663056"/>
    <w:rsid w:val="07015457"/>
    <w:rsid w:val="074B526D"/>
    <w:rsid w:val="075C0E7F"/>
    <w:rsid w:val="07E437D4"/>
    <w:rsid w:val="081B0F71"/>
    <w:rsid w:val="08D105D0"/>
    <w:rsid w:val="09067C8C"/>
    <w:rsid w:val="09AD2691"/>
    <w:rsid w:val="09B20DBD"/>
    <w:rsid w:val="0AE76C0F"/>
    <w:rsid w:val="0B0A7B36"/>
    <w:rsid w:val="0B1271B4"/>
    <w:rsid w:val="0BAD5D9F"/>
    <w:rsid w:val="0C0617BB"/>
    <w:rsid w:val="0CA36C05"/>
    <w:rsid w:val="0E1C76A9"/>
    <w:rsid w:val="0F8424B1"/>
    <w:rsid w:val="0FDC68EC"/>
    <w:rsid w:val="10973244"/>
    <w:rsid w:val="10EB3C34"/>
    <w:rsid w:val="12BF7066"/>
    <w:rsid w:val="13806D71"/>
    <w:rsid w:val="13B61785"/>
    <w:rsid w:val="153E6721"/>
    <w:rsid w:val="15A32AF1"/>
    <w:rsid w:val="15F943BE"/>
    <w:rsid w:val="160A5C34"/>
    <w:rsid w:val="161259BE"/>
    <w:rsid w:val="16B65171"/>
    <w:rsid w:val="17770F82"/>
    <w:rsid w:val="17D04656"/>
    <w:rsid w:val="1A4432B1"/>
    <w:rsid w:val="1AEB3ABE"/>
    <w:rsid w:val="1B22026A"/>
    <w:rsid w:val="1B7445BC"/>
    <w:rsid w:val="1C6871C3"/>
    <w:rsid w:val="1D0836BB"/>
    <w:rsid w:val="1D6862E4"/>
    <w:rsid w:val="1E1632D2"/>
    <w:rsid w:val="1E884DFD"/>
    <w:rsid w:val="1F9436BC"/>
    <w:rsid w:val="220F4D5A"/>
    <w:rsid w:val="23E0119A"/>
    <w:rsid w:val="24750066"/>
    <w:rsid w:val="25AB4699"/>
    <w:rsid w:val="25AE73B6"/>
    <w:rsid w:val="27444A31"/>
    <w:rsid w:val="28046FA3"/>
    <w:rsid w:val="283E0EBB"/>
    <w:rsid w:val="29BC5A2B"/>
    <w:rsid w:val="2A557527"/>
    <w:rsid w:val="2AC05B56"/>
    <w:rsid w:val="2B7F09DF"/>
    <w:rsid w:val="2C376046"/>
    <w:rsid w:val="2C5D196F"/>
    <w:rsid w:val="2CD944AA"/>
    <w:rsid w:val="2D51210C"/>
    <w:rsid w:val="2DB805A0"/>
    <w:rsid w:val="2E3767C5"/>
    <w:rsid w:val="2EA36763"/>
    <w:rsid w:val="2F050CB5"/>
    <w:rsid w:val="2F9B3D0D"/>
    <w:rsid w:val="30565B57"/>
    <w:rsid w:val="30F06F42"/>
    <w:rsid w:val="31E375B1"/>
    <w:rsid w:val="32551136"/>
    <w:rsid w:val="331A0CCB"/>
    <w:rsid w:val="33A73D29"/>
    <w:rsid w:val="33E923FF"/>
    <w:rsid w:val="344B2B70"/>
    <w:rsid w:val="34AA525B"/>
    <w:rsid w:val="35745A73"/>
    <w:rsid w:val="365F3C65"/>
    <w:rsid w:val="36D06645"/>
    <w:rsid w:val="373C0BE5"/>
    <w:rsid w:val="38080755"/>
    <w:rsid w:val="381F0A73"/>
    <w:rsid w:val="3A653F70"/>
    <w:rsid w:val="3AC33B91"/>
    <w:rsid w:val="3B410ABA"/>
    <w:rsid w:val="3B5D1292"/>
    <w:rsid w:val="3D741CEE"/>
    <w:rsid w:val="3DA01172"/>
    <w:rsid w:val="3DA27E28"/>
    <w:rsid w:val="3E133B0C"/>
    <w:rsid w:val="3E8261F1"/>
    <w:rsid w:val="3F62587B"/>
    <w:rsid w:val="40EF0DE7"/>
    <w:rsid w:val="4212255E"/>
    <w:rsid w:val="42732FB9"/>
    <w:rsid w:val="43246012"/>
    <w:rsid w:val="43CA538C"/>
    <w:rsid w:val="45A95BAF"/>
    <w:rsid w:val="45F52C21"/>
    <w:rsid w:val="47112286"/>
    <w:rsid w:val="47946279"/>
    <w:rsid w:val="48DB5743"/>
    <w:rsid w:val="490B653B"/>
    <w:rsid w:val="4A210B3A"/>
    <w:rsid w:val="4A7578BD"/>
    <w:rsid w:val="4AE81CFF"/>
    <w:rsid w:val="4B1A4EB1"/>
    <w:rsid w:val="4C032544"/>
    <w:rsid w:val="4D2D4F60"/>
    <w:rsid w:val="4EE02B9F"/>
    <w:rsid w:val="4EEE3854"/>
    <w:rsid w:val="4F6B0F0A"/>
    <w:rsid w:val="5036726A"/>
    <w:rsid w:val="5152112C"/>
    <w:rsid w:val="52275BB1"/>
    <w:rsid w:val="5355542F"/>
    <w:rsid w:val="543C59A8"/>
    <w:rsid w:val="56840B65"/>
    <w:rsid w:val="56EA4E7F"/>
    <w:rsid w:val="573E1ED9"/>
    <w:rsid w:val="57677201"/>
    <w:rsid w:val="578F5F96"/>
    <w:rsid w:val="58BC2DC7"/>
    <w:rsid w:val="58C94526"/>
    <w:rsid w:val="59FC4EC1"/>
    <w:rsid w:val="5BF6618E"/>
    <w:rsid w:val="5D5E0DFB"/>
    <w:rsid w:val="5D824FAE"/>
    <w:rsid w:val="5DB31EBF"/>
    <w:rsid w:val="5DEC55DF"/>
    <w:rsid w:val="5FCC369E"/>
    <w:rsid w:val="60341AB9"/>
    <w:rsid w:val="61346D4D"/>
    <w:rsid w:val="619F6FF1"/>
    <w:rsid w:val="62AF5E69"/>
    <w:rsid w:val="632257D6"/>
    <w:rsid w:val="642D140B"/>
    <w:rsid w:val="65805B43"/>
    <w:rsid w:val="66597517"/>
    <w:rsid w:val="682923F0"/>
    <w:rsid w:val="68344C04"/>
    <w:rsid w:val="684A3553"/>
    <w:rsid w:val="68DF44F5"/>
    <w:rsid w:val="6A0B5514"/>
    <w:rsid w:val="6B471EDD"/>
    <w:rsid w:val="6BCC2C26"/>
    <w:rsid w:val="6C7367DC"/>
    <w:rsid w:val="6DB766FC"/>
    <w:rsid w:val="6E331454"/>
    <w:rsid w:val="6F9B467E"/>
    <w:rsid w:val="702103C7"/>
    <w:rsid w:val="70682910"/>
    <w:rsid w:val="71EF44D9"/>
    <w:rsid w:val="729F30B6"/>
    <w:rsid w:val="74AE139C"/>
    <w:rsid w:val="74B26E2F"/>
    <w:rsid w:val="75107E34"/>
    <w:rsid w:val="75727C50"/>
    <w:rsid w:val="75A066CE"/>
    <w:rsid w:val="76661F06"/>
    <w:rsid w:val="76D55935"/>
    <w:rsid w:val="77535354"/>
    <w:rsid w:val="78AD6632"/>
    <w:rsid w:val="78B53D96"/>
    <w:rsid w:val="7B9817E3"/>
    <w:rsid w:val="7BAD14FC"/>
    <w:rsid w:val="7C214995"/>
    <w:rsid w:val="7DAB0A99"/>
    <w:rsid w:val="7E1763F4"/>
    <w:rsid w:val="7E654138"/>
    <w:rsid w:val="7EDB3016"/>
    <w:rsid w:val="7EFB273F"/>
    <w:rsid w:val="7FE3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雪画</cp:lastModifiedBy>
  <dcterms:modified xsi:type="dcterms:W3CDTF">2019-11-08T02:07:27Z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