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2CEEAB">
      <w:pPr>
        <w:jc w:val="center"/>
        <w:rPr>
          <w:rFonts w:ascii="华文行楷" w:hAnsi="Arial" w:eastAsia="华文行楷" w:cs="Arial"/>
          <w:color w:val="FF0000"/>
          <w:sz w:val="144"/>
          <w:szCs w:val="84"/>
        </w:rPr>
      </w:pPr>
      <w:r>
        <w:rPr>
          <w:rFonts w:hint="eastAsia" w:ascii="华文行楷" w:eastAsia="华文行楷" w:cs="Arial"/>
          <w:color w:val="FF0000"/>
          <w:sz w:val="144"/>
          <w:szCs w:val="84"/>
        </w:rPr>
        <w:t>简</w:t>
      </w:r>
      <w:r>
        <w:rPr>
          <w:rFonts w:hint="eastAsia" w:ascii="华文行楷" w:hAnsi="Arial" w:eastAsia="华文行楷" w:cs="Arial"/>
          <w:color w:val="FF0000"/>
          <w:sz w:val="144"/>
          <w:szCs w:val="84"/>
        </w:rPr>
        <w:t xml:space="preserve">   </w:t>
      </w:r>
      <w:r>
        <w:rPr>
          <w:rFonts w:hint="eastAsia" w:ascii="华文行楷" w:eastAsia="华文行楷" w:cs="Arial"/>
          <w:color w:val="FF0000"/>
          <w:sz w:val="144"/>
          <w:szCs w:val="84"/>
        </w:rPr>
        <w:t>报</w:t>
      </w:r>
    </w:p>
    <w:p w14:paraId="5617B8D8">
      <w:pPr>
        <w:rPr>
          <w:rFonts w:ascii="仿宋_GB2312" w:eastAsia="仿宋_GB2312"/>
          <w:sz w:val="32"/>
          <w:szCs w:val="32"/>
        </w:rPr>
      </w:pPr>
    </w:p>
    <w:p w14:paraId="021AC76E">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mc:AlternateContent>
          <mc:Choice Requires="wps">
            <w:drawing>
              <wp:anchor distT="0" distB="0" distL="114300" distR="114300" simplePos="0" relativeHeight="251659264" behindDoc="0" locked="0" layoutInCell="1" allowOverlap="1">
                <wp:simplePos x="0" y="0"/>
                <wp:positionH relativeFrom="column">
                  <wp:posOffset>-190500</wp:posOffset>
                </wp:positionH>
                <wp:positionV relativeFrom="paragraph">
                  <wp:posOffset>377190</wp:posOffset>
                </wp:positionV>
                <wp:extent cx="5829300" cy="0"/>
                <wp:effectExtent l="0" t="0" r="0" b="0"/>
                <wp:wrapNone/>
                <wp:docPr id="4" name="直线 2"/>
                <wp:cNvGraphicFramePr/>
                <a:graphic xmlns:a="http://schemas.openxmlformats.org/drawingml/2006/main">
                  <a:graphicData uri="http://schemas.microsoft.com/office/word/2010/wordprocessingShape">
                    <wps:wsp>
                      <wps:cNvCnPr/>
                      <wps:spPr>
                        <a:xfrm>
                          <a:off x="0" y="0"/>
                          <a:ext cx="5829300" cy="0"/>
                        </a:xfrm>
                        <a:prstGeom prst="line">
                          <a:avLst/>
                        </a:prstGeom>
                        <a:ln w="44450" cap="flat" cmpd="sng">
                          <a:solidFill>
                            <a:srgbClr val="FF0000"/>
                          </a:solidFill>
                          <a:prstDash val="solid"/>
                          <a:headEnd type="none" w="med" len="med"/>
                          <a:tailEnd type="none" w="med" len="med"/>
                        </a:ln>
                      </wps:spPr>
                      <wps:bodyPr upright="1"/>
                    </wps:wsp>
                  </a:graphicData>
                </a:graphic>
              </wp:anchor>
            </w:drawing>
          </mc:Choice>
          <mc:Fallback>
            <w:pict>
              <v:line id="直线 2" o:spid="_x0000_s1026" o:spt="20" style="position:absolute;left:0pt;margin-left:-15pt;margin-top:29.7pt;height:0pt;width:459pt;z-index:251659264;mso-width-relative:page;mso-height-relative:page;" filled="f" stroked="t" coordsize="21600,21600" o:gfxdata="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51P&#10;mdYAAAAJAQAADwAAAAAAAAABACAAAAAiAAAAZHJzL2Rvd25yZXYueG1sUEsBAhQAFAAAAAgAh07i&#10;QJ9dsZfrAQAA3AMAAA4AAAAAAAAAAQAgAAAAJQEAAGRycy9lMm9Eb2MueG1sUEsFBgAAAAAGAAYA&#10;WQEAAIIFAAAAAA==&#10;">
                <v:fill on="f" focussize="0,0"/>
                <v:stroke weight="3.5pt" color="#FF0000" joinstyle="round"/>
                <v:imagedata o:title=""/>
                <o:lock v:ext="edit" aspectratio="f"/>
              </v:line>
            </w:pict>
          </mc:Fallback>
        </mc:AlternateContent>
      </w:r>
      <w:r>
        <w:rPr>
          <w:rFonts w:hint="eastAsia" w:ascii="方正仿宋_GBK" w:hAnsi="方正仿宋_GBK" w:eastAsia="方正仿宋_GBK" w:cs="方正仿宋_GBK"/>
          <w:sz w:val="32"/>
          <w:szCs w:val="32"/>
        </w:rPr>
        <w:t>德钦县供销合作社</w:t>
      </w:r>
      <w:r>
        <w:rPr>
          <w:rFonts w:hint="eastAsia" w:ascii="方正仿宋_GBK" w:hAnsi="方正仿宋_GBK" w:eastAsia="方正仿宋_GBK" w:cs="方正仿宋_GBK"/>
          <w:sz w:val="32"/>
          <w:szCs w:val="32"/>
          <w:lang w:val="en-US" w:eastAsia="zh-CN"/>
        </w:rPr>
        <w:t>联合社</w:t>
      </w:r>
      <w:r>
        <w:rPr>
          <w:rFonts w:hint="eastAsia" w:ascii="方正仿宋_GBK" w:hAnsi="方正仿宋_GBK" w:eastAsia="方正仿宋_GBK" w:cs="方正仿宋_GBK"/>
          <w:sz w:val="32"/>
          <w:szCs w:val="32"/>
        </w:rPr>
        <w:t xml:space="preserve">              20</w:t>
      </w:r>
      <w:r>
        <w:rPr>
          <w:rFonts w:hint="eastAsia" w:ascii="方正仿宋_GBK" w:hAnsi="方正仿宋_GBK" w:eastAsia="方正仿宋_GBK" w:cs="方正仿宋_GBK"/>
          <w:sz w:val="32"/>
          <w:szCs w:val="32"/>
          <w:lang w:val="en-US" w:eastAsia="zh-CN"/>
        </w:rPr>
        <w:t>26</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3</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13</w:t>
      </w:r>
      <w:r>
        <w:rPr>
          <w:rFonts w:hint="eastAsia" w:ascii="方正仿宋_GBK" w:hAnsi="方正仿宋_GBK" w:eastAsia="方正仿宋_GBK" w:cs="方正仿宋_GBK"/>
          <w:sz w:val="32"/>
          <w:szCs w:val="32"/>
        </w:rPr>
        <w:t>日</w:t>
      </w:r>
    </w:p>
    <w:p w14:paraId="653FFA1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32" w:beforeAutospacing="0" w:after="378" w:afterAutospacing="0" w:line="600" w:lineRule="exact"/>
        <w:ind w:right="0"/>
        <w:jc w:val="center"/>
        <w:textAlignment w:val="auto"/>
        <w:rPr>
          <w:rFonts w:hint="eastAsia" w:asciiTheme="majorEastAsia" w:hAnsiTheme="majorEastAsia" w:eastAsiaTheme="majorEastAsia" w:cstheme="majorEastAsia"/>
          <w:b/>
          <w:bCs/>
          <w:i w:val="0"/>
          <w:caps w:val="0"/>
          <w:color w:val="191919"/>
          <w:spacing w:val="0"/>
          <w:kern w:val="0"/>
          <w:sz w:val="30"/>
          <w:szCs w:val="30"/>
          <w:shd w:val="clear" w:fill="FFFFFF"/>
          <w:lang w:val="en-US" w:eastAsia="zh-CN" w:bidi="ar"/>
        </w:rPr>
      </w:pPr>
    </w:p>
    <w:p w14:paraId="7AC24D5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32" w:beforeAutospacing="0" w:after="378" w:afterAutospacing="0" w:line="600" w:lineRule="exact"/>
        <w:ind w:right="0"/>
        <w:jc w:val="center"/>
        <w:textAlignment w:val="auto"/>
        <w:rPr>
          <w:rFonts w:hint="eastAsia" w:ascii="方正小标宋_GBK" w:hAnsi="方正小标宋_GBK" w:eastAsia="方正小标宋_GBK" w:cs="方正小标宋_GBK"/>
          <w:b w:val="0"/>
          <w:bCs w:val="0"/>
          <w:i w:val="0"/>
          <w:caps w:val="0"/>
          <w:color w:val="191919"/>
          <w:spacing w:val="0"/>
          <w:kern w:val="0"/>
          <w:sz w:val="44"/>
          <w:szCs w:val="44"/>
          <w:shd w:val="clear" w:fill="FFFFFF"/>
          <w:lang w:val="en-US" w:eastAsia="zh-CN" w:bidi="ar"/>
        </w:rPr>
      </w:pPr>
      <w:r>
        <w:rPr>
          <w:rFonts w:hint="eastAsia" w:ascii="方正小标宋_GBK" w:hAnsi="方正小标宋_GBK" w:eastAsia="方正小标宋_GBK" w:cs="方正小标宋_GBK"/>
          <w:b w:val="0"/>
          <w:bCs w:val="0"/>
          <w:i w:val="0"/>
          <w:caps w:val="0"/>
          <w:color w:val="191919"/>
          <w:spacing w:val="0"/>
          <w:kern w:val="0"/>
          <w:sz w:val="44"/>
          <w:szCs w:val="44"/>
          <w:shd w:val="clear" w:fill="FFFFFF"/>
          <w:lang w:val="en-US" w:eastAsia="zh-CN" w:bidi="ar"/>
        </w:rPr>
        <w:t>关于赴州供销社汇报工作及对接农特产品工作</w:t>
      </w:r>
    </w:p>
    <w:p w14:paraId="128E20CE">
      <w:pPr>
        <w:ind w:firstLine="640" w:firstLineChars="200"/>
        <w:rPr>
          <w:rFonts w:hint="eastAsia" w:ascii="方正仿宋_GBK" w:hAnsi="方正仿宋_GBK" w:eastAsia="方正仿宋_GBK" w:cs="方正仿宋_GBK"/>
          <w:i w:val="0"/>
          <w:caps w:val="0"/>
          <w:color w:val="262626" w:themeColor="text1" w:themeTint="D9"/>
          <w:spacing w:val="0"/>
          <w:sz w:val="32"/>
          <w:szCs w:val="32"/>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i w:val="0"/>
          <w:caps w:val="0"/>
          <w:color w:val="262626" w:themeColor="text1" w:themeTint="D9"/>
          <w:spacing w:val="0"/>
          <w:sz w:val="32"/>
          <w:szCs w:val="32"/>
          <w:lang w:val="en-US" w:eastAsia="zh-CN"/>
          <w14:textFill>
            <w14:solidFill>
              <w14:schemeClr w14:val="tx1">
                <w14:lumMod w14:val="85000"/>
                <w14:lumOff w14:val="15000"/>
              </w14:schemeClr>
            </w14:solidFill>
          </w14:textFill>
        </w:rPr>
        <w:t>为推动供销工作提质增效，拓宽农特产品销售渠道，2026年3月9日，德钦县供销合作社联合社主要负责人带队赴州供销社汇报工作开展情况，并就农特产品对接进行专题洽谈。</w:t>
      </w:r>
    </w:p>
    <w:p w14:paraId="320EE21C">
      <w:pPr>
        <w:ind w:firstLine="640" w:firstLineChars="200"/>
        <w:rPr>
          <w:rFonts w:hint="eastAsia" w:ascii="方正仿宋_GBK" w:hAnsi="方正仿宋_GBK" w:eastAsia="方正仿宋_GBK" w:cs="方正仿宋_GBK"/>
          <w:i w:val="0"/>
          <w:caps w:val="0"/>
          <w:color w:val="262626" w:themeColor="text1" w:themeTint="D9"/>
          <w:spacing w:val="0"/>
          <w:sz w:val="32"/>
          <w:szCs w:val="32"/>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i w:val="0"/>
          <w:caps w:val="0"/>
          <w:color w:val="262626" w:themeColor="text1" w:themeTint="D9"/>
          <w:spacing w:val="0"/>
          <w:sz w:val="32"/>
          <w:szCs w:val="32"/>
          <w:lang w:val="en-US" w:eastAsia="zh-CN"/>
          <w14:textFill>
            <w14:solidFill>
              <w14:schemeClr w14:val="tx1">
                <w14:lumMod w14:val="85000"/>
                <w14:lumOff w14:val="15000"/>
              </w14:schemeClr>
            </w14:solidFill>
          </w14:textFill>
        </w:rPr>
        <w:drawing>
          <wp:anchor distT="0" distB="0" distL="114300" distR="114300" simplePos="0" relativeHeight="251660288" behindDoc="0" locked="0" layoutInCell="1" allowOverlap="1">
            <wp:simplePos x="0" y="0"/>
            <wp:positionH relativeFrom="column">
              <wp:posOffset>2160270</wp:posOffset>
            </wp:positionH>
            <wp:positionV relativeFrom="paragraph">
              <wp:posOffset>512445</wp:posOffset>
            </wp:positionV>
            <wp:extent cx="3928745" cy="2997200"/>
            <wp:effectExtent l="0" t="0" r="14605" b="12700"/>
            <wp:wrapSquare wrapText="bothSides"/>
            <wp:docPr id="3" name="图片 3" descr="e3d3b47f0f276e476f2f79c3fb35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3d3b47f0f276e476f2f79c3fb354960"/>
                    <pic:cNvPicPr>
                      <a:picLocks noChangeAspect="1"/>
                    </pic:cNvPicPr>
                  </pic:nvPicPr>
                  <pic:blipFill>
                    <a:blip r:embed="rId4"/>
                    <a:stretch>
                      <a:fillRect/>
                    </a:stretch>
                  </pic:blipFill>
                  <pic:spPr>
                    <a:xfrm>
                      <a:off x="0" y="0"/>
                      <a:ext cx="3928745" cy="2997200"/>
                    </a:xfrm>
                    <a:prstGeom prst="rect">
                      <a:avLst/>
                    </a:prstGeom>
                  </pic:spPr>
                </pic:pic>
              </a:graphicData>
            </a:graphic>
          </wp:anchor>
        </w:drawing>
      </w:r>
      <w:r>
        <w:rPr>
          <w:rFonts w:hint="eastAsia" w:ascii="方正仿宋_GBK" w:hAnsi="方正仿宋_GBK" w:eastAsia="方正仿宋_GBK" w:cs="方正仿宋_GBK"/>
          <w:i w:val="0"/>
          <w:caps w:val="0"/>
          <w:color w:val="262626" w:themeColor="text1" w:themeTint="D9"/>
          <w:spacing w:val="0"/>
          <w:sz w:val="32"/>
          <w:szCs w:val="32"/>
          <w:lang w:val="en-US" w:eastAsia="zh-CN"/>
          <w14:textFill>
            <w14:solidFill>
              <w14:schemeClr w14:val="tx1">
                <w14:lumMod w14:val="85000"/>
                <w14:lumOff w14:val="15000"/>
              </w14:schemeClr>
            </w14:solidFill>
          </w14:textFill>
        </w:rPr>
        <w:t>汇报中，县社主要负责人围绕年度工作任务、项目推进、农资服务、基层社建设等情况作详细汇报，认真听取州供销社工作指导意见。</w:t>
      </w:r>
    </w:p>
    <w:p w14:paraId="6645BCA7">
      <w:pPr>
        <w:ind w:firstLine="640" w:firstLineChars="200"/>
        <w:rPr>
          <w:rFonts w:hint="eastAsia" w:ascii="方正仿宋_GBK" w:hAnsi="方正仿宋_GBK" w:eastAsia="方正仿宋_GBK" w:cs="方正仿宋_GBK"/>
          <w:i w:val="0"/>
          <w:caps w:val="0"/>
          <w:color w:val="262626" w:themeColor="text1" w:themeTint="D9"/>
          <w:spacing w:val="0"/>
          <w:sz w:val="32"/>
          <w:szCs w:val="32"/>
          <w:lang w:val="en-US" w:eastAsia="zh-CN"/>
          <w14:textFill>
            <w14:solidFill>
              <w14:schemeClr w14:val="tx1">
                <w14:lumMod w14:val="85000"/>
                <w14:lumOff w14:val="15000"/>
              </w14:schemeClr>
            </w14:solidFill>
          </w14:textFill>
        </w:rPr>
      </w:pPr>
    </w:p>
    <w:p w14:paraId="515C6C93">
      <w:pPr>
        <w:ind w:firstLine="640" w:firstLineChars="200"/>
        <w:rPr>
          <w:rFonts w:hint="eastAsia" w:ascii="方正仿宋_GBK" w:hAnsi="方正仿宋_GBK" w:eastAsia="方正仿宋_GBK" w:cs="方正仿宋_GBK"/>
          <w:i w:val="0"/>
          <w:caps w:val="0"/>
          <w:color w:val="262626" w:themeColor="text1" w:themeTint="D9"/>
          <w:spacing w:val="0"/>
          <w:sz w:val="32"/>
          <w:szCs w:val="32"/>
          <w:lang w:val="en-US" w:eastAsia="zh-CN"/>
          <w14:textFill>
            <w14:solidFill>
              <w14:schemeClr w14:val="tx1">
                <w14:lumMod w14:val="85000"/>
                <w14:lumOff w14:val="15000"/>
              </w14:schemeClr>
            </w14:solidFill>
          </w14:textFill>
        </w:rPr>
      </w:pPr>
    </w:p>
    <w:p w14:paraId="79D727B3">
      <w:pPr>
        <w:ind w:firstLine="640" w:firstLineChars="200"/>
        <w:rPr>
          <w:rFonts w:hint="eastAsia" w:ascii="方正仿宋_GBK" w:hAnsi="方正仿宋_GBK" w:eastAsia="方正仿宋_GBK" w:cs="方正仿宋_GBK"/>
          <w:i w:val="0"/>
          <w:caps w:val="0"/>
          <w:color w:val="262626" w:themeColor="text1" w:themeTint="D9"/>
          <w:spacing w:val="0"/>
          <w:sz w:val="32"/>
          <w:szCs w:val="32"/>
          <w:lang w:val="en-US" w:eastAsia="zh-CN"/>
          <w14:textFill>
            <w14:solidFill>
              <w14:schemeClr w14:val="tx1">
                <w14:lumMod w14:val="85000"/>
                <w14:lumOff w14:val="15000"/>
              </w14:schemeClr>
            </w14:solidFill>
          </w14:textFill>
        </w:rPr>
      </w:pPr>
    </w:p>
    <w:p w14:paraId="63C25FDB">
      <w:pPr>
        <w:ind w:firstLine="640" w:firstLineChars="200"/>
        <w:rPr>
          <w:rFonts w:hint="eastAsia" w:ascii="方正仿宋_GBK" w:hAnsi="方正仿宋_GBK" w:eastAsia="方正仿宋_GBK" w:cs="方正仿宋_GBK"/>
          <w:i w:val="0"/>
          <w:caps w:val="0"/>
          <w:color w:val="262626" w:themeColor="text1" w:themeTint="D9"/>
          <w:spacing w:val="0"/>
          <w:sz w:val="32"/>
          <w:szCs w:val="32"/>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i w:val="0"/>
          <w:caps w:val="0"/>
          <w:color w:val="262626" w:themeColor="text1" w:themeTint="D9"/>
          <w:spacing w:val="0"/>
          <w:sz w:val="32"/>
          <w:szCs w:val="32"/>
          <w:lang w:val="en-US" w:eastAsia="zh-CN"/>
          <w14:textFill>
            <w14:solidFill>
              <w14:schemeClr w14:val="tx1">
                <w14:lumMod w14:val="85000"/>
                <w14:lumOff w14:val="15000"/>
              </w14:schemeClr>
            </w14:solidFill>
          </w14:textFill>
        </w:rPr>
        <w:t xml:space="preserve">对接期间，双方就农特产品品牌培育、线上线下销售、仓储物流、展会推介等事宜深入交流，达成初步合作意向。   </w:t>
      </w:r>
      <w:r>
        <w:rPr>
          <w:rFonts w:hint="eastAsia" w:ascii="方正仿宋_GBK" w:hAnsi="方正仿宋_GBK" w:eastAsia="方正仿宋_GBK" w:cs="方正仿宋_GBK"/>
          <w:i w:val="0"/>
          <w:caps w:val="0"/>
          <w:color w:val="262626" w:themeColor="text1" w:themeTint="D9"/>
          <w:spacing w:val="0"/>
          <w:sz w:val="32"/>
          <w:szCs w:val="32"/>
          <w:lang w:val="en-US" w:eastAsia="zh-CN"/>
          <w14:textFill>
            <w14:solidFill>
              <w14:schemeClr w14:val="tx1">
                <w14:lumMod w14:val="85000"/>
                <w14:lumOff w14:val="15000"/>
              </w14:schemeClr>
            </w14:solidFill>
          </w14:textFill>
        </w:rPr>
        <w:drawing>
          <wp:inline distT="0" distB="0" distL="114300" distR="114300">
            <wp:extent cx="5358765" cy="3244215"/>
            <wp:effectExtent l="0" t="0" r="13335" b="13335"/>
            <wp:docPr id="5" name="图片 5" descr="29a001009c4aa091bbfea5bfd41f8b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9a001009c4aa091bbfea5bfd41f8be7"/>
                    <pic:cNvPicPr>
                      <a:picLocks noChangeAspect="1"/>
                    </pic:cNvPicPr>
                  </pic:nvPicPr>
                  <pic:blipFill>
                    <a:blip r:embed="rId5"/>
                    <a:stretch>
                      <a:fillRect/>
                    </a:stretch>
                  </pic:blipFill>
                  <pic:spPr>
                    <a:xfrm>
                      <a:off x="0" y="0"/>
                      <a:ext cx="5358765" cy="3244215"/>
                    </a:xfrm>
                    <a:prstGeom prst="rect">
                      <a:avLst/>
                    </a:prstGeom>
                  </pic:spPr>
                </pic:pic>
              </a:graphicData>
            </a:graphic>
          </wp:inline>
        </w:drawing>
      </w:r>
    </w:p>
    <w:p w14:paraId="6C6BF77F">
      <w:pPr>
        <w:ind w:firstLine="640" w:firstLineChars="200"/>
        <w:rPr>
          <w:rFonts w:hint="eastAsia" w:ascii="方正仿宋_GBK" w:hAnsi="方正仿宋_GBK" w:eastAsia="方正仿宋_GBK" w:cs="方正仿宋_GBK"/>
          <w:i w:val="0"/>
          <w:caps w:val="0"/>
          <w:color w:val="262626" w:themeColor="text1" w:themeTint="D9"/>
          <w:spacing w:val="0"/>
          <w:sz w:val="32"/>
          <w:szCs w:val="32"/>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i w:val="0"/>
          <w:caps w:val="0"/>
          <w:color w:val="262626" w:themeColor="text1" w:themeTint="D9"/>
          <w:spacing w:val="0"/>
          <w:sz w:val="32"/>
          <w:szCs w:val="32"/>
          <w:lang w:val="en-US" w:eastAsia="zh-CN"/>
          <w14:textFill>
            <w14:solidFill>
              <w14:schemeClr w14:val="tx1">
                <w14:lumMod w14:val="85000"/>
                <w14:lumOff w14:val="15000"/>
              </w14:schemeClr>
            </w14:solidFill>
          </w14:textFill>
        </w:rPr>
        <w:t>此次赴州汇报对接，进一步厘清了工作思路，畅通了产销衔接，为下一步提升供销服务能力、促进农民增收、助力乡村振兴奠定了坚实基础。</w:t>
      </w:r>
    </w:p>
    <w:p w14:paraId="0CFFBAAF">
      <w:pPr>
        <w:ind w:firstLine="640" w:firstLineChars="200"/>
        <w:rPr>
          <w:rFonts w:hint="eastAsia" w:ascii="方正仿宋_GBK" w:hAnsi="方正仿宋_GBK" w:eastAsia="方正仿宋_GBK" w:cs="方正仿宋_GBK"/>
          <w:i w:val="0"/>
          <w:caps w:val="0"/>
          <w:color w:val="262626" w:themeColor="text1" w:themeTint="D9"/>
          <w:spacing w:val="0"/>
          <w:sz w:val="32"/>
          <w:szCs w:val="32"/>
          <w:lang w:val="en-US" w:eastAsia="zh-CN"/>
          <w14:textFill>
            <w14:solidFill>
              <w14:schemeClr w14:val="tx1">
                <w14:lumMod w14:val="85000"/>
                <w14:lumOff w14:val="15000"/>
              </w14:schemeClr>
            </w14:solidFill>
          </w14:textFill>
        </w:rPr>
      </w:pPr>
    </w:p>
    <w:p w14:paraId="07CD3E87">
      <w:pPr>
        <w:ind w:firstLine="640" w:firstLineChars="200"/>
        <w:rPr>
          <w:rFonts w:hint="eastAsia" w:ascii="方正仿宋_GBK" w:hAnsi="方正仿宋_GBK" w:eastAsia="方正仿宋_GBK" w:cs="方正仿宋_GBK"/>
          <w:i w:val="0"/>
          <w:caps w:val="0"/>
          <w:color w:val="262626" w:themeColor="text1" w:themeTint="D9"/>
          <w:spacing w:val="0"/>
          <w:sz w:val="32"/>
          <w:szCs w:val="32"/>
          <w:lang w:val="en-US" w:eastAsia="zh-CN"/>
          <w14:textFill>
            <w14:solidFill>
              <w14:schemeClr w14:val="tx1">
                <w14:lumMod w14:val="85000"/>
                <w14:lumOff w14:val="15000"/>
              </w14:schemeClr>
            </w14:solidFill>
          </w14:textFill>
        </w:rPr>
      </w:pPr>
    </w:p>
    <w:p w14:paraId="526690ED">
      <w:pPr>
        <w:ind w:firstLine="640" w:firstLineChars="200"/>
        <w:rPr>
          <w:rFonts w:hint="eastAsia" w:ascii="方正仿宋_GBK" w:hAnsi="方正仿宋_GBK" w:eastAsia="方正仿宋_GBK" w:cs="方正仿宋_GBK"/>
          <w:i w:val="0"/>
          <w:caps w:val="0"/>
          <w:color w:val="262626" w:themeColor="text1" w:themeTint="D9"/>
          <w:spacing w:val="0"/>
          <w:sz w:val="32"/>
          <w:szCs w:val="32"/>
          <w:lang w:val="en-US" w:eastAsia="zh-CN"/>
          <w14:textFill>
            <w14:solidFill>
              <w14:schemeClr w14:val="tx1">
                <w14:lumMod w14:val="85000"/>
                <w14:lumOff w14:val="15000"/>
              </w14:schemeClr>
            </w14:solidFill>
          </w14:textFill>
        </w:rPr>
      </w:pPr>
    </w:p>
    <w:p w14:paraId="0434EA9A">
      <w:pPr>
        <w:ind w:firstLine="640" w:firstLineChars="200"/>
        <w:rPr>
          <w:rFonts w:hint="eastAsia" w:ascii="方正仿宋_GBK" w:hAnsi="方正仿宋_GBK" w:eastAsia="方正仿宋_GBK" w:cs="方正仿宋_GBK"/>
          <w:i w:val="0"/>
          <w:caps w:val="0"/>
          <w:color w:val="262626" w:themeColor="text1" w:themeTint="D9"/>
          <w:spacing w:val="0"/>
          <w:sz w:val="32"/>
          <w:szCs w:val="32"/>
          <w:lang w:val="en-US" w:eastAsia="zh-CN"/>
          <w14:textFill>
            <w14:solidFill>
              <w14:schemeClr w14:val="tx1">
                <w14:lumMod w14:val="85000"/>
                <w14:lumOff w14:val="15000"/>
              </w14:schemeClr>
            </w14:solidFill>
          </w14:textFill>
        </w:rPr>
      </w:pPr>
    </w:p>
    <w:p w14:paraId="2C394818">
      <w:pPr>
        <w:ind w:firstLine="640" w:firstLineChars="200"/>
        <w:rPr>
          <w:rFonts w:hint="eastAsia" w:ascii="方正仿宋_GBK" w:hAnsi="方正仿宋_GBK" w:eastAsia="方正仿宋_GBK" w:cs="方正仿宋_GBK"/>
          <w:i w:val="0"/>
          <w:caps w:val="0"/>
          <w:color w:val="262626" w:themeColor="text1" w:themeTint="D9"/>
          <w:spacing w:val="0"/>
          <w:sz w:val="32"/>
          <w:szCs w:val="32"/>
          <w:lang w:val="en-US" w:eastAsia="zh-CN"/>
          <w14:textFill>
            <w14:solidFill>
              <w14:schemeClr w14:val="tx1">
                <w14:lumMod w14:val="85000"/>
                <w14:lumOff w14:val="15000"/>
              </w14:schemeClr>
            </w14:solidFill>
          </w14:textFill>
        </w:rPr>
      </w:pPr>
    </w:p>
    <w:p w14:paraId="5235FA67">
      <w:pPr>
        <w:ind w:firstLine="640" w:firstLineChars="200"/>
        <w:rPr>
          <w:rFonts w:hint="eastAsia" w:ascii="方正仿宋_GBK" w:hAnsi="方正仿宋_GBK" w:eastAsia="方正仿宋_GBK" w:cs="方正仿宋_GBK"/>
          <w:i w:val="0"/>
          <w:caps w:val="0"/>
          <w:color w:val="262626" w:themeColor="text1" w:themeTint="D9"/>
          <w:spacing w:val="0"/>
          <w:sz w:val="32"/>
          <w:szCs w:val="32"/>
          <w:lang w:val="en-US" w:eastAsia="zh-CN"/>
          <w14:textFill>
            <w14:solidFill>
              <w14:schemeClr w14:val="tx1">
                <w14:lumMod w14:val="85000"/>
                <w14:lumOff w14:val="15000"/>
              </w14:schemeClr>
            </w14:solidFill>
          </w14:textFill>
        </w:rPr>
      </w:pPr>
    </w:p>
    <w:p w14:paraId="31376F4B">
      <w:pPr>
        <w:ind w:firstLine="640" w:firstLineChars="200"/>
        <w:rPr>
          <w:rFonts w:hint="eastAsia" w:ascii="方正仿宋_GBK" w:hAnsi="方正仿宋_GBK" w:eastAsia="方正仿宋_GBK" w:cs="方正仿宋_GBK"/>
          <w:i w:val="0"/>
          <w:caps w:val="0"/>
          <w:color w:val="262626" w:themeColor="text1" w:themeTint="D9"/>
          <w:spacing w:val="0"/>
          <w:sz w:val="32"/>
          <w:szCs w:val="32"/>
          <w:lang w:val="en-US" w:eastAsia="zh-CN"/>
          <w14:textFill>
            <w14:solidFill>
              <w14:schemeClr w14:val="tx1">
                <w14:lumMod w14:val="85000"/>
                <w14:lumOff w14:val="15000"/>
              </w14:schemeClr>
            </w14:solidFill>
          </w14:textFill>
        </w:rPr>
      </w:pPr>
    </w:p>
    <w:p w14:paraId="0F139D9D">
      <w:pPr>
        <w:rPr>
          <w:rFonts w:hint="eastAsia" w:ascii="方正仿宋_GBK" w:hAnsi="方正仿宋_GBK" w:eastAsia="方正仿宋_GBK" w:cs="方正仿宋_GBK"/>
          <w:i w:val="0"/>
          <w:caps w:val="0"/>
          <w:color w:val="262626" w:themeColor="text1" w:themeTint="D9"/>
          <w:spacing w:val="0"/>
          <w:kern w:val="2"/>
          <w:sz w:val="32"/>
          <w:szCs w:val="32"/>
          <w:lang w:val="en-US" w:eastAsia="zh-CN" w:bidi="ar-SA"/>
          <w14:textFill>
            <w14:solidFill>
              <w14:schemeClr w14:val="tx1">
                <w14:lumMod w14:val="85000"/>
                <w14:lumOff w14:val="15000"/>
              </w14:schemeClr>
            </w14:solidFill>
          </w14:textFill>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行楷">
    <w:panose1 w:val="02010800040101010101"/>
    <w:charset w:val="86"/>
    <w:family w:val="auto"/>
    <w:pitch w:val="default"/>
    <w:sig w:usb0="00000001" w:usb1="080F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0MWE4MTMwNWZkMDZkZjI2OTFlNzRiYzBjMDljOTcifQ=="/>
  </w:docVars>
  <w:rsids>
    <w:rsidRoot w:val="485E24BC"/>
    <w:rsid w:val="01D0529D"/>
    <w:rsid w:val="09770E12"/>
    <w:rsid w:val="149B3CC7"/>
    <w:rsid w:val="151E11D2"/>
    <w:rsid w:val="1E215981"/>
    <w:rsid w:val="1E831280"/>
    <w:rsid w:val="239C69DB"/>
    <w:rsid w:val="35137E8B"/>
    <w:rsid w:val="38AB22D7"/>
    <w:rsid w:val="39F350B4"/>
    <w:rsid w:val="449966D4"/>
    <w:rsid w:val="485E24BC"/>
    <w:rsid w:val="59901AA3"/>
    <w:rsid w:val="6B0E294B"/>
    <w:rsid w:val="735A1CB4"/>
    <w:rsid w:val="79C64913"/>
    <w:rsid w:val="7A0936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迪庆州德钦县党政机关单位</Company>
  <Pages>2</Pages>
  <Words>892</Words>
  <Characters>901</Characters>
  <Lines>0</Lines>
  <Paragraphs>0</Paragraphs>
  <TotalTime>15</TotalTime>
  <ScaleCrop>false</ScaleCrop>
  <LinksUpToDate>false</LinksUpToDate>
  <CharactersWithSpaces>921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2021-05-07T01:00:00Z</dcterms:created>
  <dc:creator>Administrator</dc:creator>
  <cp:lastModifiedBy>November__</cp:lastModifiedBy>
  <dcterms:modified xsi:type="dcterms:W3CDTF">2026-03-13T02:53:05Z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3D2B7BAB9C264C559F46EF4CDA219060</vt:lpwstr>
  </property>
  <property fmtid="{D5CDD505-2E9C-101B-9397-08002B2CF9AE}" pid="4" name="KSOTemplateDocerSaveRecord">
    <vt:lpwstr>eyJoZGlkIjoiNDQyNGM2MWE5MGU4MTM2M2MwMjUyYmEwMGM5NDhhZDAiLCJ1c2VySWQiOiI0NTg3ODE1ODMifQ==</vt:lpwstr>
  </property>
</Properties>
</file>