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附件1</w:t>
      </w:r>
    </w:p>
    <w:p>
      <w:pPr>
        <w:spacing w:line="60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德钦</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eastAsia="zh-CN"/>
        </w:rPr>
        <w:t>文物管理所</w:t>
      </w:r>
      <w:r>
        <w:rPr>
          <w:rFonts w:hint="eastAsia" w:ascii="方正小标宋简体" w:hAnsi="方正小标宋简体" w:eastAsia="方正小标宋简体" w:cs="方正小标宋简体"/>
          <w:sz w:val="44"/>
          <w:szCs w:val="44"/>
        </w:rPr>
        <w:t>“三公”经费决算情况说明</w:t>
      </w:r>
    </w:p>
    <w:p>
      <w:pPr>
        <w:spacing w:line="600" w:lineRule="exact"/>
        <w:ind w:firstLine="600" w:firstLineChars="200"/>
        <w:rPr>
          <w:rFonts w:ascii="Times New Roman" w:hAnsi="Times New Roman" w:eastAsia="仿宋_GB2312"/>
          <w:sz w:val="30"/>
          <w:szCs w:val="30"/>
        </w:rPr>
      </w:pP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年“三公”经费决算情况公开如下：</w:t>
      </w:r>
    </w:p>
    <w:p>
      <w:pPr>
        <w:spacing w:line="54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2018年度德钦县文物管理所</w:t>
      </w:r>
      <w:bookmarkStart w:id="0" w:name="_GoBack"/>
      <w:bookmarkEnd w:id="0"/>
      <w:r>
        <w:rPr>
          <w:rFonts w:hint="eastAsia" w:ascii="Times New Roman" w:hAnsi="Times New Roman" w:eastAsia="仿宋_GB2312"/>
          <w:sz w:val="30"/>
          <w:szCs w:val="30"/>
          <w:lang w:val="en-US" w:eastAsia="zh-CN"/>
        </w:rPr>
        <w:t>无三公经费支出</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val="en-US" w:eastAsia="zh-CN"/>
        </w:rPr>
        <w:t>2018</w:t>
      </w:r>
      <w:r>
        <w:rPr>
          <w:rFonts w:ascii="Times New Roman" w:hAnsi="Times New Roman" w:eastAsia="仿宋_GB2312"/>
          <w:sz w:val="30"/>
          <w:szCs w:val="30"/>
        </w:rPr>
        <w:t>年</w:t>
      </w:r>
      <w:r>
        <w:rPr>
          <w:rFonts w:hint="eastAsia" w:ascii="Times New Roman" w:hAnsi="Times New Roman" w:eastAsia="仿宋_GB2312"/>
          <w:sz w:val="30"/>
          <w:szCs w:val="30"/>
          <w:lang w:eastAsia="zh-CN"/>
        </w:rPr>
        <w:t>德钦县文体广电局</w:t>
      </w:r>
      <w:r>
        <w:rPr>
          <w:rFonts w:ascii="Times New Roman" w:hAnsi="Times New Roman" w:eastAsia="仿宋_GB2312"/>
          <w:sz w:val="30"/>
          <w:szCs w:val="30"/>
        </w:rPr>
        <w:t>一般公共预算财政拨款“三公”经费支出</w:t>
      </w:r>
      <w:r>
        <w:rPr>
          <w:rFonts w:hint="eastAsia" w:ascii="Times New Roman" w:hAnsi="Times New Roman" w:eastAsia="仿宋_GB2312"/>
          <w:sz w:val="30"/>
          <w:szCs w:val="30"/>
        </w:rPr>
        <w:t>合计</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%。其中：因公出国（境）费为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%，共计安排因公出国（境）团组</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个，因公出国（境）</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公务接待费为</w:t>
      </w:r>
      <w:r>
        <w:rPr>
          <w:rFonts w:hint="eastAsia" w:ascii="Times New Roman" w:hAnsi="Times New Roman" w:eastAsia="仿宋_GB2312"/>
          <w:sz w:val="30"/>
          <w:szCs w:val="30"/>
          <w:lang w:val="en-US" w:eastAsia="zh-CN"/>
        </w:rPr>
        <w:t>1</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%，国内公务接待批次为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次，共计接待</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人次</w:t>
      </w:r>
      <w:r>
        <w:rPr>
          <w:rFonts w:hint="eastAsia" w:ascii="Times New Roman" w:hAnsi="Times New Roman" w:eastAsia="仿宋_GB2312"/>
          <w:sz w:val="30"/>
          <w:szCs w:val="30"/>
        </w:rPr>
        <w:t>。</w:t>
      </w:r>
      <w:r>
        <w:rPr>
          <w:rFonts w:ascii="Times New Roman" w:hAnsi="Times New Roman" w:eastAsia="仿宋_GB2312"/>
          <w:sz w:val="30"/>
          <w:szCs w:val="30"/>
        </w:rPr>
        <w:t>公务用车购置及运行维护费为</w:t>
      </w:r>
      <w:r>
        <w:rPr>
          <w:rFonts w:hint="eastAsia" w:ascii="Times New Roman" w:hAnsi="Times New Roman" w:eastAsia="仿宋_GB2312"/>
          <w:sz w:val="30"/>
          <w:szCs w:val="30"/>
          <w:lang w:val="en-US" w:eastAsia="zh-CN"/>
        </w:rPr>
        <w:t>2</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%（其中：公务用车购置费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%；公务用车运行维护费</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万元，较</w:t>
      </w:r>
      <w:r>
        <w:rPr>
          <w:rFonts w:hint="eastAsia" w:ascii="Times New Roman" w:hAnsi="Times New Roman" w:eastAsia="仿宋_GB2312"/>
          <w:sz w:val="30"/>
          <w:szCs w:val="30"/>
        </w:rPr>
        <w:t>预算数增加（</w:t>
      </w:r>
      <w:r>
        <w:rPr>
          <w:rFonts w:ascii="Times New Roman" w:hAnsi="Times New Roman" w:eastAsia="仿宋_GB2312"/>
          <w:sz w:val="30"/>
          <w:szCs w:val="30"/>
        </w:rPr>
        <w:t>减少</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万元，</w:t>
      </w:r>
      <w:r>
        <w:rPr>
          <w:rFonts w:hint="eastAsia" w:ascii="Times New Roman" w:hAnsi="Times New Roman" w:eastAsia="仿宋_GB2312"/>
          <w:sz w:val="30"/>
          <w:szCs w:val="30"/>
        </w:rPr>
        <w:t>增长（</w:t>
      </w:r>
      <w:r>
        <w:rPr>
          <w:rFonts w:ascii="Times New Roman" w:hAnsi="Times New Roman" w:eastAsia="仿宋_GB2312"/>
          <w:sz w:val="30"/>
          <w:szCs w:val="30"/>
        </w:rPr>
        <w:t>下降</w:t>
      </w: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%。共计购置公务用车</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辆，年末公务用车保有量为</w:t>
      </w:r>
      <w:r>
        <w:rPr>
          <w:rFonts w:hint="eastAsia" w:ascii="Times New Roman" w:hAnsi="Times New Roman" w:eastAsia="仿宋_GB2312"/>
          <w:sz w:val="30"/>
          <w:szCs w:val="30"/>
          <w:lang w:val="en-US" w:eastAsia="zh-CN"/>
        </w:rPr>
        <w:t>0</w:t>
      </w:r>
      <w:r>
        <w:rPr>
          <w:rFonts w:ascii="Times New Roman" w:hAnsi="Times New Roman" w:eastAsia="仿宋_GB2312"/>
          <w:sz w:val="30"/>
          <w:szCs w:val="30"/>
        </w:rPr>
        <w:t>辆。</w:t>
      </w:r>
    </w:p>
    <w:p>
      <w:pPr>
        <w:spacing w:line="540" w:lineRule="exact"/>
        <w:ind w:left="1050" w:leftChars="500"/>
        <w:rPr>
          <w:rFonts w:hint="eastAsia" w:ascii="Times New Roman" w:hAnsi="Times New Roman" w:eastAsia="仿宋_GB2312"/>
          <w:sz w:val="30"/>
          <w:szCs w:val="30"/>
        </w:rPr>
      </w:pPr>
    </w:p>
    <w:p>
      <w:pPr>
        <w:spacing w:line="540" w:lineRule="exact"/>
        <w:ind w:left="1050" w:leftChars="500"/>
        <w:rPr>
          <w:rFonts w:hint="eastAsia" w:ascii="Times New Roman" w:hAnsi="Times New Roman" w:eastAsia="仿宋_GB2312"/>
          <w:sz w:val="30"/>
          <w:szCs w:val="30"/>
        </w:rPr>
      </w:pPr>
    </w:p>
    <w:p>
      <w:pPr>
        <w:spacing w:line="540" w:lineRule="exact"/>
        <w:ind w:left="1050" w:leftChars="500"/>
        <w:rPr>
          <w:rFonts w:hint="eastAsia" w:ascii="Times New Roman" w:hAnsi="Times New Roman" w:eastAsia="仿宋_GB2312"/>
          <w:sz w:val="30"/>
          <w:szCs w:val="30"/>
        </w:rPr>
      </w:pPr>
    </w:p>
    <w:p>
      <w:pPr>
        <w:spacing w:line="540" w:lineRule="exact"/>
        <w:ind w:left="1050" w:leftChars="500"/>
        <w:rPr>
          <w:rFonts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spacing w:line="600" w:lineRule="exact"/>
        <w:rPr>
          <w:rFonts w:hint="eastAsia" w:ascii="仿宋_GB2312" w:eastAsia="仿宋_GB2312"/>
          <w:bCs/>
          <w:sz w:val="30"/>
          <w:szCs w:val="30"/>
        </w:rPr>
      </w:pPr>
    </w:p>
    <w:p>
      <w:pPr>
        <w:jc w:val="center"/>
        <w:rPr>
          <w:rFonts w:hint="eastAsia" w:ascii="仿宋_GB2312" w:eastAsia="仿宋_GB2312"/>
          <w:bCs/>
          <w:sz w:val="30"/>
          <w:szCs w:val="30"/>
        </w:rPr>
      </w:pPr>
    </w:p>
    <w:p>
      <w:pPr>
        <w:jc w:val="center"/>
        <w:rPr>
          <w:rFonts w:ascii="黑体" w:hAnsi="黑体" w:eastAsia="黑体" w:cs="黑体"/>
          <w:bCs/>
          <w:sz w:val="32"/>
          <w:szCs w:val="32"/>
        </w:rPr>
      </w:pPr>
      <w:r>
        <w:rPr>
          <w:rFonts w:hint="eastAsia" w:ascii="黑体" w:hAnsi="黑体" w:eastAsia="黑体" w:cs="黑体"/>
          <w:bCs/>
          <w:sz w:val="32"/>
          <w:szCs w:val="32"/>
          <w:lang w:val="en-US" w:eastAsia="zh-CN"/>
        </w:rPr>
        <w:t>2018</w:t>
      </w:r>
      <w:r>
        <w:rPr>
          <w:rFonts w:hint="eastAsia" w:ascii="黑体" w:hAnsi="黑体" w:eastAsia="黑体" w:cs="黑体"/>
          <w:bCs/>
          <w:sz w:val="32"/>
          <w:szCs w:val="32"/>
        </w:rPr>
        <w:t>年</w:t>
      </w:r>
      <w:r>
        <w:rPr>
          <w:rFonts w:hint="eastAsia" w:ascii="黑体" w:hAnsi="黑体" w:eastAsia="黑体" w:cs="黑体"/>
          <w:bCs/>
          <w:sz w:val="32"/>
          <w:szCs w:val="32"/>
          <w:lang w:eastAsia="zh-CN"/>
        </w:rPr>
        <w:t>德钦县旅游局</w:t>
      </w:r>
      <w:r>
        <w:rPr>
          <w:rFonts w:hint="eastAsia" w:ascii="黑体" w:hAnsi="黑体" w:eastAsia="黑体" w:cs="黑体"/>
          <w:bCs/>
          <w:sz w:val="32"/>
          <w:szCs w:val="32"/>
        </w:rPr>
        <w:t>“三公”经费决算数对比情况表</w:t>
      </w:r>
    </w:p>
    <w:tbl>
      <w:tblPr>
        <w:tblStyle w:val="5"/>
        <w:tblW w:w="9215" w:type="dxa"/>
        <w:tblInd w:w="-318" w:type="dxa"/>
        <w:tblLayout w:type="fixed"/>
        <w:tblCellMar>
          <w:top w:w="0" w:type="dxa"/>
          <w:left w:w="108" w:type="dxa"/>
          <w:bottom w:w="0" w:type="dxa"/>
          <w:right w:w="108" w:type="dxa"/>
        </w:tblCellMar>
      </w:tblPr>
      <w:tblGrid>
        <w:gridCol w:w="3970"/>
        <w:gridCol w:w="851"/>
        <w:gridCol w:w="2268"/>
        <w:gridCol w:w="2126"/>
      </w:tblGrid>
      <w:tr>
        <w:tblPrEx>
          <w:tblLayout w:type="fixed"/>
          <w:tblCellMar>
            <w:top w:w="0" w:type="dxa"/>
            <w:left w:w="108" w:type="dxa"/>
            <w:bottom w:w="0" w:type="dxa"/>
            <w:right w:w="108" w:type="dxa"/>
          </w:tblCellMar>
        </w:tblPrEx>
        <w:trPr>
          <w:trHeight w:val="379" w:hRule="atLeast"/>
        </w:trPr>
        <w:tc>
          <w:tcPr>
            <w:tcW w:w="397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编制单位：</w:t>
            </w:r>
          </w:p>
        </w:tc>
        <w:tc>
          <w:tcPr>
            <w:tcW w:w="851"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379"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栏  次</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一、“三公”经费支出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（一）支出合计</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2．公务用车购置及运行维护费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（1）公务用车购置费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（2）公务用车运行维护费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6"/>
                <w:szCs w:val="16"/>
                <w:lang w:val="en-US" w:eastAsia="zh-CN"/>
              </w:rPr>
            </w:pPr>
            <w:r>
              <w:rPr>
                <w:rFonts w:hint="eastAsia" w:ascii="宋体" w:hAnsi="宋体" w:cs="宋体"/>
                <w:color w:val="000000"/>
                <w:kern w:val="0"/>
                <w:sz w:val="16"/>
                <w:szCs w:val="16"/>
              </w:rPr>
              <w:t>　</w:t>
            </w:r>
            <w:r>
              <w:rPr>
                <w:rFonts w:hint="eastAsia" w:ascii="宋体" w:hAnsi="宋体" w:cs="宋体"/>
                <w:color w:val="000000"/>
                <w:kern w:val="0"/>
                <w:sz w:val="16"/>
                <w:szCs w:val="16"/>
                <w:lang w:val="en-US" w:eastAsia="zh-CN"/>
              </w:rPr>
              <w:t>0</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（1）国内接待费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（2）国（境）外接待费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（二）相关统计数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1．因公出国（境）团组数（个）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2．因公出国（境）人次数（人）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3．公务用车购置数（辆）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4．公务用车保有量（辆）</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5．国内公务接待批次（个）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其中：外事接待批次（个）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6．国内公务接待人次（人）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其中：外事接待人次（人）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7．国（境）外公务接待批次（个）</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8．国（境）外公务接待人次（人）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二、机关运行经费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（一）行政单位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（二）参照公务员法管理事业单位</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Layout w:type="fixed"/>
          <w:tblCellMar>
            <w:top w:w="0" w:type="dxa"/>
            <w:left w:w="108" w:type="dxa"/>
            <w:bottom w:w="0" w:type="dxa"/>
            <w:right w:w="108" w:type="dxa"/>
          </w:tblCellMar>
        </w:tblPrEx>
        <w:trPr>
          <w:trHeight w:val="82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tblPrEx>
          <w:tblLayout w:type="fixed"/>
          <w:tblCellMar>
            <w:top w:w="0" w:type="dxa"/>
            <w:left w:w="108" w:type="dxa"/>
            <w:bottom w:w="0" w:type="dxa"/>
            <w:right w:w="108" w:type="dxa"/>
          </w:tblCellMar>
        </w:tblPrEx>
        <w:trPr>
          <w:trHeight w:val="555" w:hRule="atLeast"/>
        </w:trPr>
        <w:tc>
          <w:tcPr>
            <w:tcW w:w="9215"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2．“机关运行经费”为行政单位和参照公务员法管理的事业单位使用一般公共预算财政拨款安排的基本支出中的日常公用经费支出。</w:t>
            </w:r>
          </w:p>
        </w:tc>
      </w:tr>
    </w:tbl>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F306935"/>
    <w:rsid w:val="00094431"/>
    <w:rsid w:val="00291E42"/>
    <w:rsid w:val="00350060"/>
    <w:rsid w:val="005659D5"/>
    <w:rsid w:val="00646C29"/>
    <w:rsid w:val="006C3876"/>
    <w:rsid w:val="0077495B"/>
    <w:rsid w:val="00814D2D"/>
    <w:rsid w:val="00990B66"/>
    <w:rsid w:val="03EA5369"/>
    <w:rsid w:val="130F684B"/>
    <w:rsid w:val="2CD537A4"/>
    <w:rsid w:val="35052B80"/>
    <w:rsid w:val="39755785"/>
    <w:rsid w:val="39892227"/>
    <w:rsid w:val="3CF36204"/>
    <w:rsid w:val="4F306935"/>
    <w:rsid w:val="57FE3D63"/>
    <w:rsid w:val="5B9361D0"/>
    <w:rsid w:val="68776372"/>
    <w:rsid w:val="799473CF"/>
    <w:rsid w:val="7AF2576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Calibri" w:hAnsi="Calibri" w:eastAsia="宋体" w:cs="Times New Roman"/>
      <w:kern w:val="2"/>
      <w:sz w:val="18"/>
      <w:szCs w:val="18"/>
    </w:rPr>
  </w:style>
  <w:style w:type="character" w:customStyle="1" w:styleId="7">
    <w:name w:val="页脚 Char"/>
    <w:basedOn w:val="4"/>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2</Pages>
  <Words>179</Words>
  <Characters>1025</Characters>
  <Lines>8</Lines>
  <Paragraphs>2</Paragraphs>
  <ScaleCrop>false</ScaleCrop>
  <LinksUpToDate>false</LinksUpToDate>
  <CharactersWithSpaces>1202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DELL</cp:lastModifiedBy>
  <cp:lastPrinted>2019-06-21T10:48:00Z</cp:lastPrinted>
  <dcterms:modified xsi:type="dcterms:W3CDTF">2019-08-19T03:04:40Z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