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方正黑体_GBK" w:cs="方正黑体_GBK"/>
          <w:color w:val="000000"/>
          <w:kern w:val="0"/>
          <w:sz w:val="30"/>
          <w:szCs w:val="30"/>
          <w:lang w:bidi="ar"/>
        </w:rPr>
      </w:pPr>
      <w:r>
        <w:rPr>
          <w:rFonts w:hint="eastAsia" w:eastAsia="方正黑体_GBK" w:cs="方正黑体_GBK"/>
          <w:color w:val="000000"/>
          <w:kern w:val="0"/>
          <w:sz w:val="30"/>
          <w:szCs w:val="30"/>
          <w:lang w:bidi="ar"/>
        </w:rPr>
        <w:t>附件</w:t>
      </w:r>
    </w:p>
    <w:p>
      <w:pPr>
        <w:spacing w:line="600" w:lineRule="exact"/>
        <w:jc w:val="center"/>
        <w:rPr>
          <w:rFonts w:eastAsia="方正小标宋_GBK" w:cs="方正小标宋_GBK"/>
          <w:color w:val="000000"/>
          <w:kern w:val="0"/>
          <w:sz w:val="40"/>
          <w:szCs w:val="40"/>
          <w:lang w:bidi="ar"/>
        </w:rPr>
      </w:pPr>
      <w:r>
        <w:rPr>
          <w:rFonts w:hint="eastAsia" w:eastAsia="方正小标宋_GBK" w:cs="方正小标宋_GBK"/>
          <w:color w:val="000000"/>
          <w:kern w:val="0"/>
          <w:sz w:val="40"/>
          <w:szCs w:val="40"/>
          <w:lang w:val="en-US" w:eastAsia="zh-CN" w:bidi="ar"/>
        </w:rPr>
        <w:t>德钦县</w:t>
      </w:r>
      <w:r>
        <w:rPr>
          <w:rFonts w:hint="eastAsia" w:eastAsia="方正小标宋_GBK" w:cs="方正小标宋_GBK"/>
          <w:color w:val="000000"/>
          <w:kern w:val="0"/>
          <w:sz w:val="40"/>
          <w:szCs w:val="40"/>
          <w:lang w:bidi="ar"/>
        </w:rPr>
        <w:t>政务服务中心进驻事项负面清单</w:t>
      </w:r>
    </w:p>
    <w:p>
      <w:pPr>
        <w:spacing w:line="600" w:lineRule="exact"/>
        <w:jc w:val="center"/>
        <w:rPr>
          <w:rFonts w:eastAsia="方正小标宋_GBK" w:cs="方正小标宋_GBK"/>
          <w:color w:val="000000"/>
          <w:kern w:val="0"/>
          <w:sz w:val="40"/>
          <w:szCs w:val="40"/>
          <w:lang w:bidi="ar"/>
        </w:rPr>
      </w:pPr>
      <w:r>
        <w:rPr>
          <w:rFonts w:hint="eastAsia" w:eastAsia="方正小标宋_GBK" w:cs="方正小标宋_GBK"/>
          <w:color w:val="000000"/>
          <w:kern w:val="0"/>
          <w:sz w:val="40"/>
          <w:szCs w:val="40"/>
          <w:lang w:bidi="ar"/>
        </w:rPr>
        <w:t>（</w:t>
      </w:r>
      <w:r>
        <w:rPr>
          <w:rFonts w:eastAsia="方正小标宋_GBK" w:cs="方正小标宋_GBK"/>
          <w:color w:val="000000"/>
          <w:kern w:val="0"/>
          <w:sz w:val="40"/>
          <w:szCs w:val="40"/>
          <w:lang w:bidi="ar"/>
        </w:rPr>
        <w:t>2023</w:t>
      </w:r>
      <w:r>
        <w:rPr>
          <w:rFonts w:hint="eastAsia" w:eastAsia="方正小标宋_GBK" w:cs="方正小标宋_GBK"/>
          <w:color w:val="000000"/>
          <w:kern w:val="0"/>
          <w:sz w:val="40"/>
          <w:szCs w:val="40"/>
          <w:lang w:bidi="ar"/>
        </w:rPr>
        <w:t>年版）</w:t>
      </w:r>
    </w:p>
    <w:p>
      <w:pPr>
        <w:spacing w:line="360" w:lineRule="exact"/>
      </w:pPr>
    </w:p>
    <w:tbl>
      <w:tblPr>
        <w:tblStyle w:val="5"/>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346"/>
        <w:gridCol w:w="2982"/>
        <w:gridCol w:w="1440"/>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blHeader/>
          <w:jc w:val="center"/>
        </w:trPr>
        <w:tc>
          <w:tcPr>
            <w:tcW w:w="419" w:type="pct"/>
            <w:noWrap w:val="0"/>
            <w:tcMar>
              <w:top w:w="6" w:type="dxa"/>
              <w:left w:w="108" w:type="dxa"/>
              <w:bottom w:w="6" w:type="dxa"/>
              <w:right w:w="108" w:type="dxa"/>
            </w:tcMar>
            <w:vAlign w:val="center"/>
          </w:tcPr>
          <w:p>
            <w:pPr>
              <w:overflowPunct w:val="0"/>
              <w:adjustRightInd w:val="0"/>
              <w:snapToGrid w:val="0"/>
              <w:spacing w:line="320" w:lineRule="exact"/>
              <w:jc w:val="center"/>
              <w:textAlignment w:val="center"/>
              <w:rPr>
                <w:rStyle w:val="8"/>
                <w:rFonts w:hint="default" w:ascii="宋体" w:hAnsi="宋体"/>
                <w:sz w:val="24"/>
              </w:rPr>
            </w:pPr>
            <w:r>
              <w:rPr>
                <w:rStyle w:val="8"/>
                <w:rFonts w:hint="default" w:ascii="宋体" w:hAnsi="宋体"/>
                <w:sz w:val="24"/>
              </w:rPr>
              <w:t>序号</w:t>
            </w:r>
          </w:p>
        </w:tc>
        <w:tc>
          <w:tcPr>
            <w:tcW w:w="1181" w:type="pct"/>
            <w:noWrap w:val="0"/>
            <w:tcMar>
              <w:top w:w="6" w:type="dxa"/>
              <w:left w:w="108" w:type="dxa"/>
              <w:bottom w:w="6" w:type="dxa"/>
              <w:right w:w="108" w:type="dxa"/>
            </w:tcMar>
            <w:vAlign w:val="center"/>
          </w:tcPr>
          <w:p>
            <w:pPr>
              <w:overflowPunct w:val="0"/>
              <w:adjustRightInd w:val="0"/>
              <w:snapToGrid w:val="0"/>
              <w:spacing w:line="320" w:lineRule="exact"/>
              <w:jc w:val="center"/>
              <w:textAlignment w:val="center"/>
              <w:rPr>
                <w:rStyle w:val="8"/>
                <w:rFonts w:hint="default" w:ascii="宋体" w:hAnsi="宋体"/>
                <w:sz w:val="24"/>
              </w:rPr>
            </w:pPr>
            <w:r>
              <w:rPr>
                <w:rStyle w:val="8"/>
                <w:rFonts w:hint="default" w:ascii="宋体" w:hAnsi="宋体"/>
                <w:sz w:val="24"/>
              </w:rPr>
              <w:t>主项名称</w:t>
            </w:r>
          </w:p>
        </w:tc>
        <w:tc>
          <w:tcPr>
            <w:tcW w:w="1501" w:type="pct"/>
            <w:noWrap w:val="0"/>
            <w:tcMar>
              <w:top w:w="6" w:type="dxa"/>
              <w:left w:w="108" w:type="dxa"/>
              <w:bottom w:w="6" w:type="dxa"/>
              <w:right w:w="108" w:type="dxa"/>
            </w:tcMar>
            <w:vAlign w:val="center"/>
          </w:tcPr>
          <w:p>
            <w:pPr>
              <w:overflowPunct w:val="0"/>
              <w:adjustRightInd w:val="0"/>
              <w:snapToGrid w:val="0"/>
              <w:spacing w:line="320" w:lineRule="exact"/>
              <w:jc w:val="center"/>
              <w:textAlignment w:val="center"/>
              <w:rPr>
                <w:rStyle w:val="8"/>
                <w:rFonts w:hint="default" w:ascii="宋体" w:hAnsi="宋体"/>
                <w:sz w:val="24"/>
              </w:rPr>
            </w:pPr>
            <w:r>
              <w:rPr>
                <w:rStyle w:val="8"/>
                <w:rFonts w:hint="default" w:ascii="宋体" w:hAnsi="宋体"/>
                <w:sz w:val="24"/>
              </w:rPr>
              <w:t>子项名称</w:t>
            </w:r>
          </w:p>
        </w:tc>
        <w:tc>
          <w:tcPr>
            <w:tcW w:w="725" w:type="pct"/>
            <w:noWrap w:val="0"/>
            <w:tcMar>
              <w:top w:w="6" w:type="dxa"/>
              <w:left w:w="108" w:type="dxa"/>
              <w:bottom w:w="6" w:type="dxa"/>
              <w:right w:w="108" w:type="dxa"/>
            </w:tcMar>
            <w:vAlign w:val="center"/>
          </w:tcPr>
          <w:p>
            <w:pPr>
              <w:overflowPunct w:val="0"/>
              <w:adjustRightInd w:val="0"/>
              <w:snapToGrid w:val="0"/>
              <w:spacing w:line="320" w:lineRule="exact"/>
              <w:jc w:val="center"/>
              <w:textAlignment w:val="center"/>
              <w:rPr>
                <w:rStyle w:val="8"/>
                <w:rFonts w:hint="default" w:ascii="宋体" w:hAnsi="宋体"/>
                <w:sz w:val="24"/>
              </w:rPr>
            </w:pPr>
            <w:r>
              <w:rPr>
                <w:rStyle w:val="8"/>
                <w:rFonts w:hint="default" w:ascii="宋体" w:hAnsi="宋体"/>
                <w:sz w:val="24"/>
              </w:rPr>
              <w:t>事项类型</w:t>
            </w:r>
          </w:p>
        </w:tc>
        <w:tc>
          <w:tcPr>
            <w:tcW w:w="1172" w:type="pct"/>
            <w:noWrap w:val="0"/>
            <w:tcMar>
              <w:top w:w="6" w:type="dxa"/>
              <w:left w:w="108" w:type="dxa"/>
              <w:bottom w:w="6" w:type="dxa"/>
              <w:right w:w="108" w:type="dxa"/>
            </w:tcMar>
            <w:vAlign w:val="center"/>
          </w:tcPr>
          <w:p>
            <w:pPr>
              <w:overflowPunct w:val="0"/>
              <w:adjustRightInd w:val="0"/>
              <w:snapToGrid w:val="0"/>
              <w:spacing w:line="320" w:lineRule="exact"/>
              <w:jc w:val="center"/>
              <w:textAlignment w:val="center"/>
              <w:rPr>
                <w:rStyle w:val="8"/>
                <w:rFonts w:hint="default" w:ascii="宋体" w:hAnsi="宋体"/>
                <w:sz w:val="24"/>
              </w:rPr>
            </w:pPr>
            <w:r>
              <w:rPr>
                <w:rStyle w:val="8"/>
                <w:rFonts w:hint="default" w:ascii="宋体" w:hAnsi="宋体"/>
                <w:sz w:val="24"/>
              </w:rPr>
              <w:t>实施机构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1</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移民安置纠纷调处</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行政裁决</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eastAsia="方正仿宋_GBK"/>
                <w:sz w:val="24"/>
                <w:lang w:val="en-US" w:eastAsia="zh-CN"/>
              </w:rPr>
            </w:pPr>
            <w:r>
              <w:rPr>
                <w:sz w:val="24"/>
              </w:rPr>
              <w:t>县发展</w:t>
            </w:r>
            <w:r>
              <w:rPr>
                <w:rFonts w:hint="eastAsia"/>
                <w:sz w:val="24"/>
                <w:lang w:val="en-US" w:eastAsia="zh-CN"/>
              </w:rPr>
              <w:t>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vMerge w:val="restar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2</w:t>
            </w:r>
          </w:p>
        </w:tc>
        <w:tc>
          <w:tcPr>
            <w:tcW w:w="1181" w:type="pct"/>
            <w:vMerge w:val="restar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对教师、学生申诉的处理</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对教师申诉的处理</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其他行政</w:t>
            </w:r>
            <w:bookmarkStart w:id="0" w:name="_GoBack"/>
            <w:bookmarkEnd w:id="0"/>
            <w:r>
              <w:rPr>
                <w:sz w:val="24"/>
              </w:rPr>
              <w:t>权力</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eastAsia="方正仿宋_GBK"/>
                <w:sz w:val="24"/>
                <w:lang w:val="en-US" w:eastAsia="zh-CN"/>
              </w:rPr>
            </w:pPr>
            <w:r>
              <w:rPr>
                <w:color w:val="000000"/>
                <w:kern w:val="0"/>
                <w:sz w:val="24"/>
                <w:lang w:bidi="ar"/>
              </w:rPr>
              <w:t>县教育</w:t>
            </w:r>
            <w:r>
              <w:rPr>
                <w:rFonts w:hint="eastAsia"/>
                <w:color w:val="000000"/>
                <w:kern w:val="0"/>
                <w:sz w:val="24"/>
                <w:lang w:val="en-US" w:eastAsia="zh-CN" w:bidi="ar"/>
              </w:rPr>
              <w:t>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对学生申诉的处理</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其他行政权力</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color w:val="000000"/>
                <w:kern w:val="0"/>
                <w:sz w:val="24"/>
                <w:lang w:bidi="ar"/>
              </w:rPr>
              <w:t>县教育</w:t>
            </w:r>
            <w:r>
              <w:rPr>
                <w:rFonts w:hint="eastAsia"/>
                <w:color w:val="000000"/>
                <w:kern w:val="0"/>
                <w:sz w:val="24"/>
                <w:lang w:val="en-US" w:eastAsia="zh-CN" w:bidi="ar"/>
              </w:rPr>
              <w:t>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3</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举行集会游行示威许可</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行政许可</w:t>
            </w:r>
          </w:p>
        </w:tc>
        <w:tc>
          <w:tcPr>
            <w:tcW w:w="1172" w:type="pct"/>
            <w:noWrap w:val="0"/>
            <w:tcMar>
              <w:top w:w="6" w:type="dxa"/>
              <w:left w:w="108" w:type="dxa"/>
              <w:bottom w:w="6" w:type="dxa"/>
              <w:right w:w="108" w:type="dxa"/>
            </w:tcMar>
            <w:vAlign w:val="center"/>
          </w:tcPr>
          <w:p>
            <w:pPr>
              <w:pStyle w:val="9"/>
              <w:overflowPunct w:val="0"/>
              <w:spacing w:line="310" w:lineRule="exact"/>
              <w:jc w:val="both"/>
              <w:textAlignment w:val="center"/>
              <w:rPr>
                <w:rFonts w:hint="eastAsia" w:eastAsia="方正仿宋_GBK"/>
                <w:sz w:val="24"/>
                <w:lang w:val="en-US" w:eastAsia="zh-CN"/>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4</w:t>
            </w:r>
          </w:p>
        </w:tc>
        <w:tc>
          <w:tcPr>
            <w:tcW w:w="118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sz w:val="24"/>
              </w:rPr>
              <w:t>机动车登记</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10" w:lineRule="exact"/>
              <w:jc w:val="center"/>
              <w:textAlignment w:val="center"/>
              <w:rPr>
                <w:rFonts w:hint="default"/>
                <w:sz w:val="24"/>
              </w:rPr>
            </w:pPr>
            <w:r>
              <w:rPr>
                <w:sz w:val="24"/>
              </w:rPr>
              <w:t>行政许可</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5</w:t>
            </w:r>
          </w:p>
        </w:tc>
        <w:tc>
          <w:tcPr>
            <w:tcW w:w="118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sz w:val="24"/>
              </w:rPr>
              <w:t>机动车临时通行牌证核发</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10" w:lineRule="exact"/>
              <w:jc w:val="center"/>
              <w:textAlignment w:val="center"/>
              <w:rPr>
                <w:rFonts w:hint="default"/>
                <w:sz w:val="24"/>
              </w:rPr>
            </w:pPr>
            <w:r>
              <w:rPr>
                <w:sz w:val="24"/>
              </w:rPr>
              <w:t>行政许可</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6</w:t>
            </w:r>
          </w:p>
        </w:tc>
        <w:tc>
          <w:tcPr>
            <w:tcW w:w="118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sz w:val="24"/>
              </w:rPr>
              <w:t>机动车检验合格标志核发</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10" w:lineRule="exact"/>
              <w:jc w:val="center"/>
              <w:textAlignment w:val="center"/>
              <w:rPr>
                <w:rFonts w:hint="default"/>
                <w:sz w:val="24"/>
              </w:rPr>
            </w:pPr>
            <w:r>
              <w:rPr>
                <w:sz w:val="24"/>
              </w:rPr>
              <w:t>行政许可</w:t>
            </w:r>
          </w:p>
        </w:tc>
        <w:tc>
          <w:tcPr>
            <w:tcW w:w="1172"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7</w:t>
            </w:r>
          </w:p>
        </w:tc>
        <w:tc>
          <w:tcPr>
            <w:tcW w:w="118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sz w:val="24"/>
              </w:rPr>
              <w:t>机动车驾驶证核发、审验</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10" w:lineRule="exact"/>
              <w:jc w:val="center"/>
              <w:textAlignment w:val="center"/>
              <w:rPr>
                <w:rFonts w:hint="default"/>
                <w:sz w:val="24"/>
              </w:rPr>
            </w:pPr>
            <w:r>
              <w:rPr>
                <w:sz w:val="24"/>
              </w:rPr>
              <w:t>行政许可</w:t>
            </w:r>
          </w:p>
        </w:tc>
        <w:tc>
          <w:tcPr>
            <w:tcW w:w="1172"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8</w:t>
            </w:r>
          </w:p>
        </w:tc>
        <w:tc>
          <w:tcPr>
            <w:tcW w:w="118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sz w:val="24"/>
              </w:rPr>
              <w:t>非机动车登记</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overflowPunct w:val="0"/>
              <w:adjustRightInd w:val="0"/>
              <w:snapToGrid w:val="0"/>
              <w:spacing w:line="310" w:lineRule="exact"/>
              <w:jc w:val="center"/>
              <w:textAlignment w:val="center"/>
              <w:rPr>
                <w:sz w:val="24"/>
              </w:rPr>
            </w:pPr>
            <w:r>
              <w:rPr>
                <w:rFonts w:hint="eastAsia" w:cs="方正仿宋_GBK"/>
                <w:color w:val="000000"/>
                <w:kern w:val="0"/>
                <w:sz w:val="24"/>
                <w:lang w:bidi="ar"/>
              </w:rPr>
              <w:t>行政许可</w:t>
            </w:r>
          </w:p>
        </w:tc>
        <w:tc>
          <w:tcPr>
            <w:tcW w:w="1172" w:type="pct"/>
            <w:noWrap w:val="0"/>
            <w:tcMar>
              <w:top w:w="6" w:type="dxa"/>
              <w:left w:w="108" w:type="dxa"/>
              <w:bottom w:w="6" w:type="dxa"/>
              <w:right w:w="108" w:type="dxa"/>
            </w:tcMar>
            <w:vAlign w:val="center"/>
          </w:tcPr>
          <w:p>
            <w:pPr>
              <w:overflowPunct w:val="0"/>
              <w:spacing w:line="320" w:lineRule="exact"/>
              <w:textAlignment w:val="center"/>
              <w:rPr>
                <w:rFonts w:hint="eastAsia"/>
                <w:sz w:val="24"/>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9</w:t>
            </w:r>
          </w:p>
        </w:tc>
        <w:tc>
          <w:tcPr>
            <w:tcW w:w="1181" w:type="pct"/>
            <w:noWrap w:val="0"/>
            <w:tcMar>
              <w:top w:w="6" w:type="dxa"/>
              <w:left w:w="108" w:type="dxa"/>
              <w:bottom w:w="6" w:type="dxa"/>
              <w:right w:w="108" w:type="dxa"/>
            </w:tcMar>
            <w:vAlign w:val="center"/>
          </w:tcPr>
          <w:p>
            <w:pPr>
              <w:pStyle w:val="9"/>
              <w:overflowPunct w:val="0"/>
              <w:spacing w:line="310" w:lineRule="exact"/>
              <w:jc w:val="both"/>
              <w:textAlignment w:val="center"/>
              <w:rPr>
                <w:sz w:val="24"/>
              </w:rPr>
            </w:pPr>
            <w:r>
              <w:rPr>
                <w:sz w:val="24"/>
              </w:rPr>
              <w:t>剧毒化学品道路运输通行许可</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overflowPunct w:val="0"/>
              <w:adjustRightInd w:val="0"/>
              <w:snapToGrid w:val="0"/>
              <w:spacing w:line="310" w:lineRule="exact"/>
              <w:jc w:val="center"/>
              <w:textAlignment w:val="center"/>
              <w:rPr>
                <w:sz w:val="24"/>
              </w:rPr>
            </w:pPr>
            <w:r>
              <w:rPr>
                <w:rFonts w:hint="eastAsia" w:cs="方正仿宋_GBK"/>
                <w:color w:val="000000"/>
                <w:kern w:val="0"/>
                <w:sz w:val="24"/>
                <w:lang w:bidi="ar"/>
              </w:rPr>
              <w:t>行政许可</w:t>
            </w:r>
          </w:p>
        </w:tc>
        <w:tc>
          <w:tcPr>
            <w:tcW w:w="1172" w:type="pct"/>
            <w:noWrap w:val="0"/>
            <w:tcMar>
              <w:top w:w="6" w:type="dxa"/>
              <w:left w:w="108" w:type="dxa"/>
              <w:bottom w:w="6" w:type="dxa"/>
              <w:right w:w="108" w:type="dxa"/>
            </w:tcMar>
            <w:vAlign w:val="center"/>
          </w:tcPr>
          <w:p>
            <w:pPr>
              <w:overflowPunct w:val="0"/>
              <w:spacing w:line="320" w:lineRule="exact"/>
              <w:textAlignment w:val="center"/>
              <w:rPr>
                <w:rFonts w:hint="eastAsia"/>
                <w:sz w:val="24"/>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vMerge w:val="restar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rFonts w:hint="default"/>
                <w:sz w:val="24"/>
              </w:rPr>
              <w:t>10</w:t>
            </w:r>
          </w:p>
        </w:tc>
        <w:tc>
          <w:tcPr>
            <w:tcW w:w="1181" w:type="pct"/>
            <w:vMerge w:val="restar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对举报或者协助查处违法犯罪行为的奖励</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sz w:val="24"/>
              </w:rPr>
              <w:t>对废旧金属收购者协助公安机关查获违法犯罪分子的奖励</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overflowPunct w:val="0"/>
              <w:spacing w:line="320" w:lineRule="exact"/>
              <w:textAlignment w:val="center"/>
              <w:rPr>
                <w:sz w:val="24"/>
              </w:rPr>
            </w:pP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sz w:val="24"/>
              </w:rPr>
              <w:t>对检举违反枪支管理犯罪活动有功人员的奖励</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overflowPunct w:val="0"/>
              <w:spacing w:line="320" w:lineRule="exact"/>
              <w:textAlignment w:val="center"/>
              <w:rPr>
                <w:sz w:val="24"/>
              </w:rPr>
            </w:pP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sz w:val="24"/>
              </w:rPr>
              <w:t>对举报毒品、涉及易制毒化学品违法犯罪行为的奖励</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sz w:val="24"/>
              </w:rPr>
              <w:t>对举报恐怖活动或者协助防范、制止恐怖活动有突出贡献的单位和个人的奖励</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vMerge w:val="restar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10</w:t>
            </w:r>
          </w:p>
        </w:tc>
        <w:tc>
          <w:tcPr>
            <w:tcW w:w="1181" w:type="pct"/>
            <w:vMerge w:val="restar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对举报或者协助查处违法犯罪行为的奖励</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sz w:val="24"/>
              </w:rPr>
              <w:t>对举报违反民用爆炸物品安全管理规定行为的人员的奖励</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交通事故侦破协助奖</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default"/>
                <w:color w:val="000000"/>
                <w:kern w:val="0"/>
                <w:sz w:val="24"/>
                <w:lang w:bidi="ar"/>
              </w:rPr>
              <w:t>县公安</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1</w:t>
            </w:r>
            <w:r>
              <w:rPr>
                <w:rFonts w:hint="default"/>
                <w:sz w:val="24"/>
              </w:rPr>
              <w:t>1</w:t>
            </w:r>
          </w:p>
        </w:tc>
        <w:tc>
          <w:tcPr>
            <w:tcW w:w="1181" w:type="pct"/>
            <w:noWrap w:val="0"/>
            <w:tcMar>
              <w:top w:w="6" w:type="dxa"/>
              <w:left w:w="108" w:type="dxa"/>
              <w:bottom w:w="6" w:type="dxa"/>
              <w:right w:w="108" w:type="dxa"/>
            </w:tcMar>
            <w:vAlign w:val="center"/>
          </w:tcPr>
          <w:p>
            <w:pPr>
              <w:overflowPunct w:val="0"/>
              <w:spacing w:line="320" w:lineRule="exact"/>
              <w:textAlignment w:val="center"/>
              <w:rPr>
                <w:rFonts w:hint="eastAsia"/>
                <w:sz w:val="24"/>
              </w:rPr>
            </w:pPr>
            <w:r>
              <w:rPr>
                <w:rFonts w:hint="eastAsia"/>
                <w:sz w:val="24"/>
              </w:rPr>
              <w:t>社会团体成立、变更、注销登记及修改章程核准</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color w:val="000000"/>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行政许可</w:t>
            </w:r>
          </w:p>
        </w:tc>
        <w:tc>
          <w:tcPr>
            <w:tcW w:w="1172" w:type="pct"/>
            <w:noWrap w:val="0"/>
            <w:tcMar>
              <w:top w:w="6" w:type="dxa"/>
              <w:left w:w="108" w:type="dxa"/>
              <w:bottom w:w="6" w:type="dxa"/>
              <w:right w:w="108" w:type="dxa"/>
            </w:tcMar>
            <w:vAlign w:val="center"/>
          </w:tcPr>
          <w:p>
            <w:pPr>
              <w:overflowPunct w:val="0"/>
              <w:spacing w:line="320" w:lineRule="exact"/>
              <w:textAlignment w:val="center"/>
              <w:rPr>
                <w:color w:val="000000"/>
                <w:kern w:val="0"/>
                <w:sz w:val="24"/>
                <w:lang w:bidi="ar"/>
              </w:rPr>
            </w:pPr>
            <w:r>
              <w:rPr>
                <w:rFonts w:hint="eastAsia"/>
                <w:color w:val="000000"/>
                <w:kern w:val="0"/>
                <w:sz w:val="24"/>
                <w:lang w:bidi="ar"/>
              </w:rPr>
              <w:t>县</w:t>
            </w:r>
            <w:r>
              <w:rPr>
                <w:color w:val="000000"/>
                <w:kern w:val="0"/>
                <w:sz w:val="24"/>
                <w:lang w:bidi="ar"/>
              </w:rPr>
              <w:t>民政</w:t>
            </w:r>
            <w:r>
              <w:rPr>
                <w:rFonts w:hint="eastAsia"/>
                <w:color w:val="000000"/>
                <w:kern w:val="0"/>
                <w:sz w:val="24"/>
                <w:lang w:val="en-US" w:eastAsia="zh-CN" w:bidi="ar"/>
              </w:rPr>
              <w:t>局</w:t>
            </w:r>
            <w:r>
              <w:rPr>
                <w:rFonts w:hint="eastAsia"/>
                <w:color w:val="000000"/>
                <w:kern w:val="0"/>
                <w:sz w:val="24"/>
                <w:lang w:bidi="ar"/>
              </w:rPr>
              <w:t>（实行登记管理机关和业务主管单位双重负责管理体制的，由有关业务主管单位实施前置审查）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1</w:t>
            </w:r>
            <w:r>
              <w:rPr>
                <w:rFonts w:hint="default"/>
                <w:sz w:val="24"/>
              </w:rPr>
              <w:t>2</w:t>
            </w:r>
          </w:p>
        </w:tc>
        <w:tc>
          <w:tcPr>
            <w:tcW w:w="1181" w:type="pct"/>
            <w:noWrap w:val="0"/>
            <w:tcMar>
              <w:top w:w="6" w:type="dxa"/>
              <w:left w:w="108" w:type="dxa"/>
              <w:bottom w:w="6" w:type="dxa"/>
              <w:right w:w="108" w:type="dxa"/>
            </w:tcMar>
            <w:vAlign w:val="center"/>
          </w:tcPr>
          <w:p>
            <w:pPr>
              <w:overflowPunct w:val="0"/>
              <w:spacing w:line="320" w:lineRule="exact"/>
              <w:textAlignment w:val="center"/>
              <w:rPr>
                <w:rFonts w:hint="eastAsia"/>
                <w:sz w:val="24"/>
              </w:rPr>
            </w:pPr>
            <w:r>
              <w:rPr>
                <w:rFonts w:hint="eastAsia"/>
                <w:sz w:val="24"/>
              </w:rPr>
              <w:t>民办非企业单位成立、变更、注销登记及修改章程核准</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color w:val="000000"/>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行政许可</w:t>
            </w:r>
          </w:p>
        </w:tc>
        <w:tc>
          <w:tcPr>
            <w:tcW w:w="1172" w:type="pct"/>
            <w:noWrap w:val="0"/>
            <w:tcMar>
              <w:top w:w="6" w:type="dxa"/>
              <w:left w:w="108" w:type="dxa"/>
              <w:bottom w:w="6" w:type="dxa"/>
              <w:right w:w="108" w:type="dxa"/>
            </w:tcMar>
            <w:vAlign w:val="center"/>
          </w:tcPr>
          <w:p>
            <w:pPr>
              <w:overflowPunct w:val="0"/>
              <w:spacing w:line="320" w:lineRule="exact"/>
              <w:textAlignment w:val="center"/>
              <w:rPr>
                <w:color w:val="000000"/>
                <w:kern w:val="0"/>
                <w:sz w:val="24"/>
                <w:lang w:bidi="ar"/>
              </w:rPr>
            </w:pPr>
            <w:r>
              <w:rPr>
                <w:rFonts w:hint="eastAsia"/>
                <w:color w:val="000000"/>
                <w:kern w:val="0"/>
                <w:sz w:val="24"/>
                <w:lang w:bidi="ar"/>
              </w:rPr>
              <w:t>县</w:t>
            </w:r>
            <w:r>
              <w:rPr>
                <w:color w:val="000000"/>
                <w:kern w:val="0"/>
                <w:sz w:val="24"/>
                <w:lang w:bidi="ar"/>
              </w:rPr>
              <w:t>民政</w:t>
            </w:r>
            <w:r>
              <w:rPr>
                <w:rFonts w:hint="eastAsia"/>
                <w:color w:val="000000"/>
                <w:kern w:val="0"/>
                <w:sz w:val="24"/>
                <w:lang w:val="en-US" w:eastAsia="zh-CN" w:bidi="ar"/>
              </w:rPr>
              <w:t>局</w:t>
            </w:r>
            <w:r>
              <w:rPr>
                <w:rFonts w:hint="eastAsia"/>
                <w:color w:val="000000"/>
                <w:kern w:val="0"/>
                <w:sz w:val="24"/>
                <w:lang w:bidi="ar"/>
              </w:rPr>
              <w:t>（实行登记管理机关和业务主管单位双重负责管理体制的，由有关业务主管单位实施前置审查）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rFonts w:hint="default"/>
                <w:sz w:val="24"/>
              </w:rPr>
              <w:t>13</w:t>
            </w:r>
          </w:p>
        </w:tc>
        <w:tc>
          <w:tcPr>
            <w:tcW w:w="1181" w:type="pct"/>
            <w:noWrap w:val="0"/>
            <w:tcMar>
              <w:top w:w="6" w:type="dxa"/>
              <w:left w:w="108" w:type="dxa"/>
              <w:bottom w:w="6" w:type="dxa"/>
              <w:right w:w="108" w:type="dxa"/>
            </w:tcMar>
            <w:vAlign w:val="center"/>
          </w:tcPr>
          <w:p>
            <w:pPr>
              <w:overflowPunct w:val="0"/>
              <w:spacing w:line="320" w:lineRule="exact"/>
              <w:textAlignment w:val="center"/>
              <w:rPr>
                <w:sz w:val="24"/>
              </w:rPr>
            </w:pPr>
            <w:r>
              <w:rPr>
                <w:sz w:val="24"/>
              </w:rPr>
              <w:t>收养登记</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color w:val="000000"/>
                <w:sz w:val="24"/>
              </w:rPr>
              <w:t>居住在中国内地的中国公民在内地收养登记、解除收养关系登记</w:t>
            </w:r>
          </w:p>
        </w:tc>
        <w:tc>
          <w:tcPr>
            <w:tcW w:w="725" w:type="pct"/>
            <w:noWrap w:val="0"/>
            <w:tcMar>
              <w:top w:w="6" w:type="dxa"/>
              <w:left w:w="108" w:type="dxa"/>
              <w:bottom w:w="6" w:type="dxa"/>
              <w:right w:w="108" w:type="dxa"/>
            </w:tcMar>
            <w:vAlign w:val="center"/>
          </w:tcPr>
          <w:p>
            <w:pPr>
              <w:pStyle w:val="9"/>
              <w:overflowPunct w:val="0"/>
              <w:spacing w:line="310" w:lineRule="exact"/>
              <w:jc w:val="center"/>
              <w:textAlignment w:val="center"/>
              <w:rPr>
                <w:rFonts w:hint="default"/>
                <w:sz w:val="24"/>
              </w:rPr>
            </w:pPr>
            <w:r>
              <w:rPr>
                <w:sz w:val="24"/>
              </w:rPr>
              <w:t>行政确认</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color w:val="000000"/>
                <w:kern w:val="0"/>
                <w:sz w:val="24"/>
                <w:lang w:bidi="ar"/>
              </w:rPr>
              <w:t>县</w:t>
            </w:r>
            <w:r>
              <w:rPr>
                <w:color w:val="000000"/>
                <w:kern w:val="0"/>
                <w:sz w:val="24"/>
                <w:lang w:bidi="ar"/>
              </w:rPr>
              <w:t>民政</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1</w:t>
            </w:r>
            <w:r>
              <w:rPr>
                <w:rFonts w:hint="default"/>
                <w:sz w:val="24"/>
              </w:rPr>
              <w:t>4</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sz w:val="24"/>
              </w:rPr>
            </w:pPr>
            <w:r>
              <w:rPr>
                <w:sz w:val="24"/>
              </w:rPr>
              <w:t>城市生活无着的流浪乞讨人员救助</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color w:val="000000"/>
                <w:sz w:val="24"/>
              </w:rPr>
            </w:pPr>
          </w:p>
        </w:tc>
        <w:tc>
          <w:tcPr>
            <w:tcW w:w="725" w:type="pct"/>
            <w:noWrap w:val="0"/>
            <w:tcMar>
              <w:top w:w="6" w:type="dxa"/>
              <w:left w:w="108" w:type="dxa"/>
              <w:bottom w:w="6" w:type="dxa"/>
              <w:right w:w="108" w:type="dxa"/>
            </w:tcMar>
            <w:vAlign w:val="center"/>
          </w:tcPr>
          <w:p>
            <w:pPr>
              <w:pStyle w:val="9"/>
              <w:overflowPunct w:val="0"/>
              <w:spacing w:line="310" w:lineRule="exact"/>
              <w:jc w:val="center"/>
              <w:textAlignment w:val="center"/>
              <w:rPr>
                <w:sz w:val="24"/>
              </w:rPr>
            </w:pPr>
            <w:r>
              <w:rPr>
                <w:sz w:val="24"/>
              </w:rPr>
              <w:t>行政给付</w:t>
            </w:r>
          </w:p>
        </w:tc>
        <w:tc>
          <w:tcPr>
            <w:tcW w:w="1172" w:type="pct"/>
            <w:noWrap w:val="0"/>
            <w:tcMar>
              <w:top w:w="6" w:type="dxa"/>
              <w:left w:w="108" w:type="dxa"/>
              <w:bottom w:w="6" w:type="dxa"/>
              <w:right w:w="108" w:type="dxa"/>
            </w:tcMar>
            <w:vAlign w:val="center"/>
          </w:tcPr>
          <w:p>
            <w:pPr>
              <w:overflowPunct w:val="0"/>
              <w:spacing w:line="320" w:lineRule="exact"/>
              <w:textAlignment w:val="center"/>
              <w:rPr>
                <w:color w:val="000000"/>
                <w:kern w:val="0"/>
                <w:sz w:val="24"/>
                <w:lang w:bidi="ar"/>
              </w:rPr>
            </w:pPr>
            <w:r>
              <w:rPr>
                <w:rFonts w:hint="eastAsia"/>
                <w:color w:val="000000"/>
                <w:kern w:val="0"/>
                <w:sz w:val="24"/>
                <w:lang w:bidi="ar"/>
              </w:rPr>
              <w:t>县</w:t>
            </w:r>
            <w:r>
              <w:rPr>
                <w:color w:val="000000"/>
                <w:kern w:val="0"/>
                <w:sz w:val="24"/>
                <w:lang w:bidi="ar"/>
              </w:rPr>
              <w:t>民政</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1</w:t>
            </w:r>
            <w:r>
              <w:rPr>
                <w:rFonts w:hint="default"/>
                <w:sz w:val="24"/>
              </w:rPr>
              <w:t>5</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sz w:val="24"/>
              </w:rPr>
            </w:pPr>
            <w:r>
              <w:rPr>
                <w:sz w:val="24"/>
              </w:rPr>
              <w:t>对公民法律援助申请的审批</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行政给付</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eastAsia="方正仿宋_GBK"/>
                <w:color w:val="000000"/>
                <w:kern w:val="0"/>
                <w:sz w:val="24"/>
                <w:lang w:val="en-US" w:eastAsia="zh-CN" w:bidi="ar"/>
              </w:rPr>
            </w:pPr>
            <w:r>
              <w:rPr>
                <w:rFonts w:hint="eastAsia"/>
                <w:color w:val="000000"/>
                <w:kern w:val="0"/>
                <w:sz w:val="24"/>
                <w:lang w:val="en-US" w:eastAsia="zh-CN" w:bidi="ar"/>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1</w:t>
            </w:r>
            <w:r>
              <w:rPr>
                <w:rFonts w:hint="default"/>
                <w:sz w:val="24"/>
              </w:rPr>
              <w:t>6</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政府采购投诉处理</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行政裁决</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eastAsia="方正仿宋_GBK"/>
                <w:sz w:val="24"/>
                <w:lang w:val="en-US" w:eastAsia="zh-CN"/>
              </w:rPr>
            </w:pPr>
            <w:r>
              <w:rPr>
                <w:rFonts w:hint="eastAsia"/>
                <w:color w:val="000000"/>
                <w:kern w:val="0"/>
                <w:sz w:val="24"/>
                <w:lang w:val="en-US" w:eastAsia="zh-CN" w:bidi="ar"/>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1</w:t>
            </w:r>
            <w:r>
              <w:rPr>
                <w:rFonts w:hint="default"/>
                <w:sz w:val="24"/>
              </w:rPr>
              <w:t>7</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对违反劳动合同法行为的举报奖励</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eastAsia" w:eastAsia="方正仿宋_GBK"/>
                <w:sz w:val="24"/>
                <w:lang w:eastAsia="zh-CN"/>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vMerge w:val="restar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1</w:t>
            </w:r>
            <w:r>
              <w:rPr>
                <w:rFonts w:hint="default"/>
                <w:sz w:val="24"/>
              </w:rPr>
              <w:t>8</w:t>
            </w:r>
          </w:p>
        </w:tc>
        <w:tc>
          <w:tcPr>
            <w:tcW w:w="1181" w:type="pct"/>
            <w:vMerge w:val="restar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流动人员人事档案管理服务</w:t>
            </w: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r>
              <w:rPr>
                <w:sz w:val="24"/>
              </w:rPr>
              <w:t>存档人员党员组织关系的接转</w:t>
            </w:r>
          </w:p>
        </w:tc>
        <w:tc>
          <w:tcPr>
            <w:tcW w:w="725" w:type="pct"/>
            <w:noWrap w:val="0"/>
            <w:tcMar>
              <w:top w:w="6" w:type="dxa"/>
              <w:left w:w="108" w:type="dxa"/>
              <w:bottom w:w="6" w:type="dxa"/>
              <w:right w:w="108" w:type="dxa"/>
            </w:tcMar>
            <w:vAlign w:val="center"/>
          </w:tcPr>
          <w:p>
            <w:pPr>
              <w:pStyle w:val="9"/>
              <w:overflowPunct w:val="0"/>
              <w:spacing w:line="314" w:lineRule="exact"/>
              <w:jc w:val="center"/>
              <w:textAlignment w:val="center"/>
              <w:rPr>
                <w:rFonts w:hint="default"/>
                <w:sz w:val="24"/>
              </w:rPr>
            </w:pPr>
            <w:r>
              <w:rPr>
                <w:sz w:val="24"/>
              </w:rPr>
              <w:t>公共服务</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r>
              <w:rPr>
                <w:sz w:val="24"/>
              </w:rPr>
              <w:t>档案材料的收集、鉴别和归档</w:t>
            </w:r>
          </w:p>
        </w:tc>
        <w:tc>
          <w:tcPr>
            <w:tcW w:w="725" w:type="pct"/>
            <w:noWrap w:val="0"/>
            <w:tcMar>
              <w:top w:w="6" w:type="dxa"/>
              <w:left w:w="108" w:type="dxa"/>
              <w:bottom w:w="6" w:type="dxa"/>
              <w:right w:w="108" w:type="dxa"/>
            </w:tcMar>
            <w:vAlign w:val="center"/>
          </w:tcPr>
          <w:p>
            <w:pPr>
              <w:pStyle w:val="9"/>
              <w:overflowPunct w:val="0"/>
              <w:spacing w:line="314" w:lineRule="exact"/>
              <w:jc w:val="center"/>
              <w:textAlignment w:val="center"/>
              <w:rPr>
                <w:rFonts w:hint="default"/>
                <w:sz w:val="24"/>
              </w:rPr>
            </w:pPr>
            <w:r>
              <w:rPr>
                <w:sz w:val="24"/>
              </w:rPr>
              <w:t>公共服务</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r>
              <w:rPr>
                <w:sz w:val="24"/>
              </w:rPr>
              <w:t>档案的接收和转递</w:t>
            </w:r>
          </w:p>
        </w:tc>
        <w:tc>
          <w:tcPr>
            <w:tcW w:w="725" w:type="pct"/>
            <w:noWrap w:val="0"/>
            <w:tcMar>
              <w:top w:w="6" w:type="dxa"/>
              <w:left w:w="108" w:type="dxa"/>
              <w:bottom w:w="6" w:type="dxa"/>
              <w:right w:w="108" w:type="dxa"/>
            </w:tcMar>
            <w:vAlign w:val="center"/>
          </w:tcPr>
          <w:p>
            <w:pPr>
              <w:pStyle w:val="9"/>
              <w:overflowPunct w:val="0"/>
              <w:spacing w:line="314" w:lineRule="exact"/>
              <w:jc w:val="center"/>
              <w:textAlignment w:val="center"/>
              <w:rPr>
                <w:rFonts w:hint="default"/>
                <w:sz w:val="24"/>
              </w:rPr>
            </w:pPr>
            <w:r>
              <w:rPr>
                <w:sz w:val="24"/>
              </w:rPr>
              <w:t>公共服务</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r>
              <w:rPr>
                <w:sz w:val="24"/>
              </w:rPr>
              <w:t>档案的整理和保管</w:t>
            </w:r>
          </w:p>
        </w:tc>
        <w:tc>
          <w:tcPr>
            <w:tcW w:w="725" w:type="pct"/>
            <w:noWrap w:val="0"/>
            <w:tcMar>
              <w:top w:w="6" w:type="dxa"/>
              <w:left w:w="108" w:type="dxa"/>
              <w:bottom w:w="6" w:type="dxa"/>
              <w:right w:w="108" w:type="dxa"/>
            </w:tcMar>
            <w:vAlign w:val="center"/>
          </w:tcPr>
          <w:p>
            <w:pPr>
              <w:pStyle w:val="9"/>
              <w:overflowPunct w:val="0"/>
              <w:spacing w:line="314" w:lineRule="exact"/>
              <w:jc w:val="center"/>
              <w:textAlignment w:val="center"/>
              <w:rPr>
                <w:rFonts w:hint="default"/>
                <w:sz w:val="24"/>
              </w:rPr>
            </w:pPr>
            <w:r>
              <w:rPr>
                <w:sz w:val="24"/>
              </w:rPr>
              <w:t>公共服务</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r>
              <w:rPr>
                <w:sz w:val="24"/>
              </w:rPr>
              <w:t>人才集体户口管理服务</w:t>
            </w:r>
          </w:p>
        </w:tc>
        <w:tc>
          <w:tcPr>
            <w:tcW w:w="725" w:type="pct"/>
            <w:noWrap w:val="0"/>
            <w:tcMar>
              <w:top w:w="6" w:type="dxa"/>
              <w:left w:w="108" w:type="dxa"/>
              <w:bottom w:w="6" w:type="dxa"/>
              <w:right w:w="108" w:type="dxa"/>
            </w:tcMar>
            <w:vAlign w:val="center"/>
          </w:tcPr>
          <w:p>
            <w:pPr>
              <w:pStyle w:val="9"/>
              <w:overflowPunct w:val="0"/>
              <w:spacing w:line="314" w:lineRule="exact"/>
              <w:jc w:val="center"/>
              <w:textAlignment w:val="center"/>
              <w:rPr>
                <w:rFonts w:hint="default"/>
                <w:sz w:val="24"/>
              </w:rPr>
            </w:pPr>
            <w:r>
              <w:rPr>
                <w:sz w:val="24"/>
              </w:rPr>
              <w:t>公共服务</w:t>
            </w:r>
          </w:p>
        </w:tc>
        <w:tc>
          <w:tcPr>
            <w:tcW w:w="1172" w:type="pct"/>
            <w:noWrap w:val="0"/>
            <w:tcMar>
              <w:top w:w="6" w:type="dxa"/>
              <w:left w:w="108" w:type="dxa"/>
              <w:bottom w:w="6" w:type="dxa"/>
              <w:right w:w="108" w:type="dxa"/>
            </w:tcMar>
            <w:vAlign w:val="center"/>
          </w:tcPr>
          <w:p>
            <w:pPr>
              <w:overflowPunct w:val="0"/>
              <w:spacing w:line="320" w:lineRule="exact"/>
              <w:textAlignment w:val="center"/>
              <w:rPr>
                <w:rFonts w:hint="eastAsia"/>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r>
              <w:rPr>
                <w:sz w:val="24"/>
              </w:rPr>
              <w:t>提供档案查（借）阅服务</w:t>
            </w:r>
          </w:p>
        </w:tc>
        <w:tc>
          <w:tcPr>
            <w:tcW w:w="725" w:type="pct"/>
            <w:noWrap w:val="0"/>
            <w:tcMar>
              <w:top w:w="6" w:type="dxa"/>
              <w:left w:w="108" w:type="dxa"/>
              <w:bottom w:w="6" w:type="dxa"/>
              <w:right w:w="108" w:type="dxa"/>
            </w:tcMar>
            <w:vAlign w:val="center"/>
          </w:tcPr>
          <w:p>
            <w:pPr>
              <w:pStyle w:val="9"/>
              <w:overflowPunct w:val="0"/>
              <w:spacing w:line="314" w:lineRule="exact"/>
              <w:jc w:val="center"/>
              <w:textAlignment w:val="center"/>
              <w:rPr>
                <w:rFonts w:hint="default"/>
                <w:sz w:val="24"/>
              </w:rPr>
            </w:pPr>
            <w:r>
              <w:rPr>
                <w:sz w:val="24"/>
              </w:rPr>
              <w:t>公共服务</w:t>
            </w:r>
          </w:p>
        </w:tc>
        <w:tc>
          <w:tcPr>
            <w:tcW w:w="1172" w:type="pct"/>
            <w:noWrap w:val="0"/>
            <w:tcMar>
              <w:top w:w="6" w:type="dxa"/>
              <w:left w:w="108" w:type="dxa"/>
              <w:bottom w:w="6" w:type="dxa"/>
              <w:right w:w="108" w:type="dxa"/>
            </w:tcMar>
            <w:vAlign w:val="center"/>
          </w:tcPr>
          <w:p>
            <w:pPr>
              <w:overflowPunct w:val="0"/>
              <w:spacing w:line="320" w:lineRule="exact"/>
              <w:textAlignment w:val="center"/>
              <w:rPr>
                <w:rFonts w:hint="eastAsia"/>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vMerge w:val="restar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18</w:t>
            </w:r>
          </w:p>
        </w:tc>
        <w:tc>
          <w:tcPr>
            <w:tcW w:w="1181" w:type="pct"/>
            <w:vMerge w:val="restar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流动人员人事档案管理服务</w:t>
            </w: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r>
              <w:rPr>
                <w:sz w:val="24"/>
              </w:rPr>
              <w:t>提供政审（考察）服务</w:t>
            </w:r>
          </w:p>
        </w:tc>
        <w:tc>
          <w:tcPr>
            <w:tcW w:w="725" w:type="pct"/>
            <w:noWrap w:val="0"/>
            <w:tcMar>
              <w:top w:w="6" w:type="dxa"/>
              <w:left w:w="108" w:type="dxa"/>
              <w:bottom w:w="6" w:type="dxa"/>
              <w:right w:w="108" w:type="dxa"/>
            </w:tcMar>
            <w:vAlign w:val="center"/>
          </w:tcPr>
          <w:p>
            <w:pPr>
              <w:pStyle w:val="9"/>
              <w:overflowPunct w:val="0"/>
              <w:spacing w:line="314" w:lineRule="exact"/>
              <w:jc w:val="center"/>
              <w:textAlignment w:val="center"/>
              <w:rPr>
                <w:rFonts w:hint="default"/>
                <w:sz w:val="24"/>
              </w:rPr>
            </w:pPr>
            <w:r>
              <w:rPr>
                <w:sz w:val="24"/>
              </w:rPr>
              <w:t>公共服务</w:t>
            </w:r>
          </w:p>
        </w:tc>
        <w:tc>
          <w:tcPr>
            <w:tcW w:w="1172" w:type="pct"/>
            <w:noWrap w:val="0"/>
            <w:tcMar>
              <w:top w:w="6" w:type="dxa"/>
              <w:left w:w="108" w:type="dxa"/>
              <w:bottom w:w="6" w:type="dxa"/>
              <w:right w:w="108" w:type="dxa"/>
            </w:tcMar>
            <w:vAlign w:val="center"/>
          </w:tcPr>
          <w:p>
            <w:pPr>
              <w:overflowPunct w:val="0"/>
              <w:spacing w:line="320" w:lineRule="exact"/>
              <w:textAlignment w:val="center"/>
              <w:rPr>
                <w:rFonts w:hint="eastAsia"/>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r>
              <w:rPr>
                <w:sz w:val="24"/>
              </w:rPr>
              <w:t>依据档案记载出具相关证明</w:t>
            </w:r>
          </w:p>
        </w:tc>
        <w:tc>
          <w:tcPr>
            <w:tcW w:w="725" w:type="pct"/>
            <w:noWrap w:val="0"/>
            <w:tcMar>
              <w:top w:w="6" w:type="dxa"/>
              <w:left w:w="108" w:type="dxa"/>
              <w:bottom w:w="6" w:type="dxa"/>
              <w:right w:w="108" w:type="dxa"/>
            </w:tcMar>
            <w:vAlign w:val="center"/>
          </w:tcPr>
          <w:p>
            <w:pPr>
              <w:pStyle w:val="9"/>
              <w:overflowPunct w:val="0"/>
              <w:spacing w:line="314" w:lineRule="exact"/>
              <w:jc w:val="center"/>
              <w:textAlignment w:val="center"/>
              <w:rPr>
                <w:rFonts w:hint="default"/>
                <w:sz w:val="24"/>
              </w:rPr>
            </w:pPr>
            <w:r>
              <w:rPr>
                <w:sz w:val="24"/>
              </w:rPr>
              <w:t>公共服务</w:t>
            </w:r>
          </w:p>
        </w:tc>
        <w:tc>
          <w:tcPr>
            <w:tcW w:w="1172" w:type="pct"/>
            <w:noWrap w:val="0"/>
            <w:tcMar>
              <w:top w:w="6" w:type="dxa"/>
              <w:left w:w="108" w:type="dxa"/>
              <w:bottom w:w="6" w:type="dxa"/>
              <w:right w:w="108" w:type="dxa"/>
            </w:tcMar>
            <w:vAlign w:val="center"/>
          </w:tcPr>
          <w:p>
            <w:pPr>
              <w:overflowPunct w:val="0"/>
              <w:spacing w:line="320" w:lineRule="exact"/>
              <w:textAlignment w:val="center"/>
              <w:rPr>
                <w:rFonts w:hint="eastAsia"/>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vMerge w:val="restar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1</w:t>
            </w:r>
            <w:r>
              <w:rPr>
                <w:rFonts w:hint="default"/>
                <w:sz w:val="24"/>
              </w:rPr>
              <w:t>9</w:t>
            </w:r>
          </w:p>
        </w:tc>
        <w:tc>
          <w:tcPr>
            <w:tcW w:w="1181" w:type="pct"/>
            <w:vMerge w:val="restart"/>
            <w:noWrap w:val="0"/>
            <w:tcMar>
              <w:top w:w="6" w:type="dxa"/>
              <w:left w:w="108" w:type="dxa"/>
              <w:bottom w:w="6" w:type="dxa"/>
              <w:right w:w="108" w:type="dxa"/>
            </w:tcMar>
            <w:vAlign w:val="center"/>
          </w:tcPr>
          <w:p>
            <w:pPr>
              <w:pStyle w:val="9"/>
              <w:overflowPunct w:val="0"/>
              <w:spacing w:line="320" w:lineRule="exact"/>
              <w:jc w:val="both"/>
              <w:textAlignment w:val="center"/>
              <w:rPr>
                <w:sz w:val="24"/>
              </w:rPr>
            </w:pPr>
            <w:r>
              <w:rPr>
                <w:sz w:val="24"/>
              </w:rPr>
              <w:t>专业技术人员管理服务</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国务院政府特殊津贴管理发放</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公共服务</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p>
        </w:tc>
        <w:tc>
          <w:tcPr>
            <w:tcW w:w="1181" w:type="pct"/>
            <w:vMerge w:val="continue"/>
            <w:noWrap w:val="0"/>
            <w:tcMar>
              <w:top w:w="6" w:type="dxa"/>
              <w:left w:w="108" w:type="dxa"/>
              <w:bottom w:w="6" w:type="dxa"/>
              <w:right w:w="108" w:type="dxa"/>
            </w:tcMar>
            <w:vAlign w:val="center"/>
          </w:tcPr>
          <w:p>
            <w:pPr>
              <w:pStyle w:val="9"/>
              <w:overflowPunct w:val="0"/>
              <w:spacing w:line="320" w:lineRule="exact"/>
              <w:jc w:val="both"/>
              <w:textAlignment w:val="center"/>
              <w:rPr>
                <w:sz w:val="24"/>
              </w:rPr>
            </w:pP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国家和省海外高层次人才服务</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公共服务</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p>
        </w:tc>
        <w:tc>
          <w:tcPr>
            <w:tcW w:w="1181" w:type="pct"/>
            <w:vMerge w:val="continue"/>
            <w:noWrap w:val="0"/>
            <w:tcMar>
              <w:top w:w="6" w:type="dxa"/>
              <w:left w:w="108" w:type="dxa"/>
              <w:bottom w:w="6" w:type="dxa"/>
              <w:right w:w="108" w:type="dxa"/>
            </w:tcMar>
            <w:vAlign w:val="center"/>
          </w:tcPr>
          <w:p>
            <w:pPr>
              <w:pStyle w:val="9"/>
              <w:overflowPunct w:val="0"/>
              <w:spacing w:line="320" w:lineRule="exact"/>
              <w:jc w:val="both"/>
              <w:textAlignment w:val="center"/>
              <w:rPr>
                <w:sz w:val="24"/>
              </w:rPr>
            </w:pP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职称评审委员会备案</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公共服务</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p>
        </w:tc>
        <w:tc>
          <w:tcPr>
            <w:tcW w:w="1181" w:type="pct"/>
            <w:vMerge w:val="continue"/>
            <w:noWrap w:val="0"/>
            <w:tcMar>
              <w:top w:w="6" w:type="dxa"/>
              <w:left w:w="108" w:type="dxa"/>
              <w:bottom w:w="6" w:type="dxa"/>
              <w:right w:w="108" w:type="dxa"/>
            </w:tcMar>
            <w:vAlign w:val="center"/>
          </w:tcPr>
          <w:p>
            <w:pPr>
              <w:pStyle w:val="9"/>
              <w:overflowPunct w:val="0"/>
              <w:spacing w:line="320" w:lineRule="exact"/>
              <w:jc w:val="both"/>
              <w:textAlignment w:val="center"/>
              <w:rPr>
                <w:sz w:val="24"/>
              </w:rPr>
            </w:pP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sz w:val="24"/>
              </w:rPr>
            </w:pPr>
            <w:r>
              <w:rPr>
                <w:sz w:val="24"/>
              </w:rPr>
              <w:t>职称申报评审及证书管理</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公共服务</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20</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劳动人事争议调解仲裁</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劳动人事争议仲裁申请</w:t>
            </w: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公共服务</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sz w:val="24"/>
              </w:rPr>
            </w:pPr>
            <w:r>
              <w:rPr>
                <w:color w:val="000000"/>
                <w:kern w:val="0"/>
                <w:sz w:val="24"/>
                <w:lang w:bidi="ar"/>
              </w:rPr>
              <w:t>县</w:t>
            </w:r>
            <w:r>
              <w:rPr>
                <w:rFonts w:hint="default"/>
                <w:color w:val="000000"/>
                <w:kern w:val="0"/>
                <w:sz w:val="24"/>
                <w:lang w:bidi="ar"/>
              </w:rPr>
              <w:t>人力资源</w:t>
            </w:r>
            <w:r>
              <w:rPr>
                <w:rFonts w:hint="eastAsia"/>
                <w:color w:val="000000"/>
                <w:kern w:val="0"/>
                <w:sz w:val="24"/>
                <w:lang w:val="en-US" w:eastAsia="zh-CN" w:bidi="ar"/>
              </w:rPr>
              <w:t>和</w:t>
            </w:r>
            <w:r>
              <w:rPr>
                <w:rFonts w:hint="default"/>
                <w:color w:val="000000"/>
                <w:kern w:val="0"/>
                <w:sz w:val="24"/>
                <w:lang w:bidi="ar"/>
              </w:rPr>
              <w:t>社会保障</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21</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法人或者其他组织需要利用属于国家秘密的基础测绘成果审批</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行政许可</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eastAsia" w:eastAsia="方正仿宋_GBK"/>
                <w:sz w:val="24"/>
                <w:lang w:eastAsia="zh-CN"/>
              </w:rPr>
            </w:pPr>
            <w:r>
              <w:rPr>
                <w:color w:val="000000"/>
                <w:kern w:val="0"/>
                <w:sz w:val="24"/>
                <w:lang w:bidi="ar"/>
              </w:rPr>
              <w:t>县</w:t>
            </w:r>
            <w:r>
              <w:rPr>
                <w:rFonts w:hint="default"/>
                <w:color w:val="000000"/>
                <w:kern w:val="0"/>
                <w:sz w:val="24"/>
                <w:lang w:bidi="ar"/>
              </w:rPr>
              <w:t>自然资源</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22</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矿区范围争议处理</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行政裁决</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color w:val="000000"/>
                <w:kern w:val="0"/>
                <w:sz w:val="24"/>
                <w:lang w:bidi="ar"/>
              </w:rPr>
              <w:t>县</w:t>
            </w:r>
            <w:r>
              <w:rPr>
                <w:rFonts w:hint="default"/>
                <w:color w:val="000000"/>
                <w:kern w:val="0"/>
                <w:sz w:val="24"/>
                <w:lang w:bidi="ar"/>
              </w:rPr>
              <w:t>自然资源</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23</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rFonts w:cs="方正仿宋_GBK"/>
                <w:sz w:val="24"/>
              </w:rPr>
              <w:t>土地权属争议行政裁决</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行政裁决</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color w:val="000000"/>
                <w:kern w:val="0"/>
                <w:sz w:val="24"/>
                <w:lang w:bidi="ar"/>
              </w:rPr>
              <w:t>县</w:t>
            </w:r>
            <w:r>
              <w:rPr>
                <w:rFonts w:hint="default"/>
                <w:color w:val="000000"/>
                <w:kern w:val="0"/>
                <w:sz w:val="24"/>
                <w:lang w:bidi="ar"/>
              </w:rPr>
              <w:t>自然资源</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24</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林木林地权属争议行政裁决</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行政裁决</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color w:val="000000"/>
                <w:kern w:val="0"/>
                <w:sz w:val="24"/>
                <w:lang w:bidi="ar"/>
              </w:rPr>
              <w:t>县</w:t>
            </w:r>
            <w:r>
              <w:rPr>
                <w:rFonts w:hint="default"/>
                <w:color w:val="000000"/>
                <w:kern w:val="0"/>
                <w:sz w:val="24"/>
                <w:lang w:bidi="ar"/>
              </w:rPr>
              <w:t>自然资源</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2</w:t>
            </w:r>
            <w:r>
              <w:rPr>
                <w:rFonts w:hint="default"/>
                <w:sz w:val="24"/>
              </w:rPr>
              <w:t>5</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草原所有权、使用权争议处理</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行政裁决</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color w:val="000000"/>
                <w:kern w:val="0"/>
                <w:sz w:val="24"/>
                <w:lang w:bidi="ar"/>
              </w:rPr>
              <w:t>县</w:t>
            </w:r>
            <w:r>
              <w:rPr>
                <w:rFonts w:hint="default"/>
                <w:color w:val="000000"/>
                <w:kern w:val="0"/>
                <w:sz w:val="24"/>
                <w:lang w:bidi="ar"/>
              </w:rPr>
              <w:t>自然资源</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2</w:t>
            </w:r>
            <w:r>
              <w:rPr>
                <w:rFonts w:hint="default"/>
                <w:sz w:val="24"/>
              </w:rPr>
              <w:t>6</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出租汽车车辆运营证核发</w:t>
            </w: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14" w:lineRule="exact"/>
              <w:jc w:val="center"/>
              <w:textAlignment w:val="center"/>
              <w:rPr>
                <w:rFonts w:hint="default"/>
                <w:sz w:val="24"/>
              </w:rPr>
            </w:pPr>
            <w:r>
              <w:rPr>
                <w:sz w:val="24"/>
              </w:rPr>
              <w:t>行政许可</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sz w:val="24"/>
              </w:rPr>
            </w:pPr>
            <w:r>
              <w:rPr>
                <w:color w:val="000000"/>
                <w:kern w:val="0"/>
                <w:sz w:val="24"/>
                <w:lang w:bidi="ar"/>
              </w:rPr>
              <w:t>县</w:t>
            </w:r>
            <w:r>
              <w:rPr>
                <w:rFonts w:hint="default"/>
                <w:color w:val="000000"/>
                <w:kern w:val="0"/>
                <w:sz w:val="24"/>
                <w:lang w:bidi="ar"/>
              </w:rPr>
              <w:t>交通运输</w:t>
            </w:r>
            <w:r>
              <w:rPr>
                <w:rFonts w:hint="eastAsia"/>
                <w:color w:val="000000"/>
                <w:kern w:val="0"/>
                <w:sz w:val="24"/>
                <w:lang w:val="en-US" w:eastAsia="zh-CN" w:bidi="ar"/>
              </w:rPr>
              <w:t>局</w:t>
            </w:r>
            <w:r>
              <w:rPr>
                <w:color w:val="000000"/>
                <w:kern w:val="0"/>
                <w:sz w:val="24"/>
                <w:lang w:bidi="ar"/>
              </w:rPr>
              <w:t>或政府指定部门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2</w:t>
            </w:r>
            <w:r>
              <w:rPr>
                <w:rFonts w:hint="default"/>
                <w:sz w:val="24"/>
              </w:rPr>
              <w:t>7</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道路运输车辆年度审验</w:t>
            </w: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14" w:lineRule="exact"/>
              <w:jc w:val="center"/>
              <w:textAlignment w:val="center"/>
              <w:rPr>
                <w:rFonts w:hint="default"/>
                <w:sz w:val="24"/>
              </w:rPr>
            </w:pPr>
            <w:r>
              <w:rPr>
                <w:sz w:val="24"/>
              </w:rPr>
              <w:t>行政确认</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color w:val="000000"/>
                <w:kern w:val="0"/>
                <w:sz w:val="24"/>
                <w:lang w:bidi="ar"/>
              </w:rPr>
              <w:t>县</w:t>
            </w:r>
            <w:r>
              <w:rPr>
                <w:rFonts w:hint="default"/>
                <w:color w:val="000000"/>
                <w:kern w:val="0"/>
                <w:sz w:val="24"/>
                <w:lang w:bidi="ar"/>
              </w:rPr>
              <w:t>交通运输</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color w:val="000000"/>
                <w:sz w:val="24"/>
              </w:rPr>
            </w:pPr>
            <w:r>
              <w:rPr>
                <w:color w:val="000000"/>
                <w:sz w:val="24"/>
              </w:rPr>
              <w:t>2</w:t>
            </w:r>
            <w:r>
              <w:rPr>
                <w:rFonts w:hint="default"/>
                <w:color w:val="000000"/>
                <w:sz w:val="24"/>
              </w:rPr>
              <w:t>8</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对保护航标单位和个人的奖励</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sz w:val="24"/>
              </w:rPr>
            </w:pPr>
            <w:r>
              <w:rPr>
                <w:color w:val="000000"/>
                <w:kern w:val="0"/>
                <w:sz w:val="24"/>
                <w:lang w:bidi="ar"/>
              </w:rPr>
              <w:t>县</w:t>
            </w:r>
            <w:r>
              <w:rPr>
                <w:rFonts w:hint="default"/>
                <w:color w:val="000000"/>
                <w:kern w:val="0"/>
                <w:sz w:val="24"/>
                <w:lang w:bidi="ar"/>
              </w:rPr>
              <w:t>交通运输</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2</w:t>
            </w:r>
            <w:r>
              <w:rPr>
                <w:rFonts w:hint="default"/>
                <w:sz w:val="24"/>
              </w:rPr>
              <w:t>9</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color w:val="000000"/>
                <w:sz w:val="24"/>
              </w:rPr>
            </w:pPr>
            <w:r>
              <w:rPr>
                <w:color w:val="000000"/>
                <w:sz w:val="24"/>
              </w:rPr>
              <w:t>对客运经营者在发车时间安排上发生纠纷、客运站经营者协调无效的裁决</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color w:val="000000"/>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color w:val="000000"/>
                <w:sz w:val="24"/>
              </w:rPr>
            </w:pPr>
            <w:r>
              <w:rPr>
                <w:color w:val="000000"/>
                <w:sz w:val="24"/>
              </w:rPr>
              <w:t>行政裁决</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sz w:val="24"/>
              </w:rPr>
            </w:pPr>
            <w:r>
              <w:rPr>
                <w:color w:val="000000"/>
                <w:kern w:val="0"/>
                <w:sz w:val="24"/>
                <w:lang w:bidi="ar"/>
              </w:rPr>
              <w:t>县</w:t>
            </w:r>
            <w:r>
              <w:rPr>
                <w:rFonts w:hint="default"/>
                <w:color w:val="000000"/>
                <w:kern w:val="0"/>
                <w:sz w:val="24"/>
                <w:lang w:bidi="ar"/>
              </w:rPr>
              <w:t>交通运输</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3</w:t>
            </w:r>
            <w:r>
              <w:rPr>
                <w:rFonts w:hint="default"/>
                <w:sz w:val="24"/>
              </w:rPr>
              <w:t>0</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动物及动物产品检疫合格证核发</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color w:val="000000"/>
                <w:sz w:val="24"/>
              </w:rPr>
            </w:pPr>
            <w:r>
              <w:rPr>
                <w:color w:val="000000"/>
                <w:sz w:val="24"/>
              </w:rPr>
              <w:t>行政许可</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eastAsia" w:eastAsia="方正仿宋_GBK"/>
                <w:sz w:val="24"/>
                <w:lang w:eastAsia="zh-CN"/>
              </w:rPr>
            </w:pPr>
            <w:r>
              <w:rPr>
                <w:rFonts w:hint="default"/>
                <w:sz w:val="24"/>
                <w:lang w:bidi="ar"/>
              </w:rPr>
              <w:t>县农业农村</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3</w:t>
            </w:r>
            <w:r>
              <w:rPr>
                <w:rFonts w:hint="default"/>
                <w:sz w:val="24"/>
              </w:rPr>
              <w:t>1</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color w:val="000000"/>
                <w:sz w:val="24"/>
              </w:rPr>
            </w:pPr>
            <w:r>
              <w:rPr>
                <w:color w:val="000000"/>
                <w:sz w:val="24"/>
              </w:rPr>
              <w:t>农业植物检疫证书核发</w:t>
            </w: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color w:val="000000"/>
                <w:sz w:val="24"/>
              </w:rPr>
            </w:pPr>
            <w:r>
              <w:rPr>
                <w:color w:val="000000"/>
                <w:sz w:val="24"/>
              </w:rPr>
              <w:t>行政许可</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lang w:bidi="ar"/>
              </w:rPr>
            </w:pPr>
            <w:r>
              <w:rPr>
                <w:rFonts w:hint="default"/>
                <w:sz w:val="24"/>
                <w:lang w:bidi="ar"/>
              </w:rPr>
              <w:t>县农业农村</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32</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color w:val="000000"/>
                <w:sz w:val="24"/>
              </w:rPr>
            </w:pPr>
            <w:r>
              <w:rPr>
                <w:color w:val="000000"/>
                <w:sz w:val="24"/>
              </w:rPr>
              <w:t>农业植物产地检疫合格证签发</w:t>
            </w: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color w:val="000000"/>
                <w:sz w:val="24"/>
              </w:rPr>
            </w:pPr>
            <w:r>
              <w:rPr>
                <w:color w:val="000000"/>
                <w:sz w:val="24"/>
              </w:rPr>
              <w:t>行政许可</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lang w:bidi="ar"/>
              </w:rPr>
            </w:pPr>
            <w:r>
              <w:rPr>
                <w:rFonts w:hint="default"/>
                <w:sz w:val="24"/>
                <w:lang w:bidi="ar"/>
              </w:rPr>
              <w:t>县农业农村</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33</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拖拉机和联合收割机驾驶证核发</w:t>
            </w: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14" w:lineRule="exact"/>
              <w:jc w:val="center"/>
              <w:textAlignment w:val="center"/>
              <w:rPr>
                <w:rFonts w:hint="default"/>
                <w:sz w:val="24"/>
              </w:rPr>
            </w:pPr>
            <w:r>
              <w:rPr>
                <w:sz w:val="24"/>
              </w:rPr>
              <w:t>行政许可</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sz w:val="24"/>
              </w:rPr>
            </w:pPr>
            <w:r>
              <w:rPr>
                <w:rFonts w:hint="default"/>
                <w:sz w:val="24"/>
                <w:lang w:bidi="ar"/>
              </w:rPr>
              <w:t>县农业农村</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34</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拖拉机和联合收割机登记</w:t>
            </w:r>
          </w:p>
        </w:tc>
        <w:tc>
          <w:tcPr>
            <w:tcW w:w="1501" w:type="pct"/>
            <w:noWrap w:val="0"/>
            <w:tcMar>
              <w:top w:w="6" w:type="dxa"/>
              <w:left w:w="108" w:type="dxa"/>
              <w:bottom w:w="6" w:type="dxa"/>
              <w:right w:w="108" w:type="dxa"/>
            </w:tcMar>
            <w:vAlign w:val="center"/>
          </w:tcPr>
          <w:p>
            <w:pPr>
              <w:pStyle w:val="9"/>
              <w:overflowPunct w:val="0"/>
              <w:spacing w:line="314"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14" w:lineRule="exact"/>
              <w:jc w:val="center"/>
              <w:textAlignment w:val="center"/>
              <w:rPr>
                <w:rFonts w:hint="default"/>
                <w:sz w:val="24"/>
              </w:rPr>
            </w:pPr>
            <w:r>
              <w:rPr>
                <w:sz w:val="24"/>
              </w:rPr>
              <w:t>行政许可</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rFonts w:hint="default"/>
                <w:sz w:val="24"/>
                <w:lang w:bidi="ar"/>
              </w:rPr>
              <w:t>县农业农村</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35</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农作物种子质量纠纷田间现场鉴定</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行政确认</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default"/>
                <w:sz w:val="24"/>
                <w:lang w:bidi="ar"/>
              </w:rPr>
              <w:t>县农业农村</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36</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侵犯植物新品种权处理</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行政裁决</w:t>
            </w:r>
          </w:p>
        </w:tc>
        <w:tc>
          <w:tcPr>
            <w:tcW w:w="1172" w:type="pct"/>
            <w:noWrap w:val="0"/>
            <w:tcMar>
              <w:top w:w="6" w:type="dxa"/>
              <w:left w:w="108" w:type="dxa"/>
              <w:bottom w:w="6" w:type="dxa"/>
              <w:right w:w="108" w:type="dxa"/>
            </w:tcMar>
            <w:vAlign w:val="center"/>
          </w:tcPr>
          <w:p>
            <w:pPr>
              <w:overflowPunct w:val="0"/>
              <w:spacing w:line="320" w:lineRule="exact"/>
              <w:textAlignment w:val="center"/>
              <w:rPr>
                <w:rFonts w:hint="default" w:eastAsia="方正仿宋_GBK"/>
                <w:sz w:val="24"/>
                <w:lang w:val="en-US" w:eastAsia="zh-CN"/>
              </w:rPr>
            </w:pPr>
            <w:r>
              <w:rPr>
                <w:rFonts w:hint="default"/>
                <w:sz w:val="24"/>
                <w:lang w:bidi="ar"/>
              </w:rPr>
              <w:t>县农业农村</w:t>
            </w:r>
            <w:r>
              <w:rPr>
                <w:rFonts w:hint="eastAsia"/>
                <w:sz w:val="24"/>
                <w:lang w:val="en-US" w:eastAsia="zh-CN" w:bidi="ar"/>
              </w:rPr>
              <w:t>局</w:t>
            </w:r>
            <w:r>
              <w:rPr>
                <w:sz w:val="24"/>
                <w:lang w:bidi="ar"/>
              </w:rPr>
              <w:t>或</w:t>
            </w:r>
            <w:r>
              <w:rPr>
                <w:rFonts w:hint="eastAsia"/>
                <w:sz w:val="24"/>
                <w:lang w:val="en-US" w:eastAsia="zh-CN" w:bidi="ar"/>
              </w:rPr>
              <w:t>林业和草原局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3</w:t>
            </w:r>
            <w:r>
              <w:rPr>
                <w:rFonts w:hint="default"/>
                <w:sz w:val="24"/>
              </w:rPr>
              <w:t>7</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水事纠纷处理</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行政裁决</w:t>
            </w:r>
          </w:p>
        </w:tc>
        <w:tc>
          <w:tcPr>
            <w:tcW w:w="1172" w:type="pct"/>
            <w:noWrap w:val="0"/>
            <w:tcMar>
              <w:top w:w="6" w:type="dxa"/>
              <w:left w:w="108" w:type="dxa"/>
              <w:bottom w:w="6" w:type="dxa"/>
              <w:right w:w="108" w:type="dxa"/>
            </w:tcMar>
            <w:vAlign w:val="center"/>
          </w:tcPr>
          <w:p>
            <w:pPr>
              <w:overflowPunct w:val="0"/>
              <w:spacing w:line="320" w:lineRule="exact"/>
              <w:textAlignment w:val="center"/>
              <w:rPr>
                <w:rFonts w:hint="default" w:eastAsia="方正仿宋_GBK"/>
                <w:sz w:val="24"/>
                <w:lang w:val="en-US" w:eastAsia="zh-CN"/>
              </w:rPr>
            </w:pPr>
            <w:r>
              <w:rPr>
                <w:rFonts w:hint="eastAsia"/>
                <w:sz w:val="24"/>
                <w:lang w:bidi="ar"/>
              </w:rPr>
              <w:t>县</w:t>
            </w:r>
            <w:r>
              <w:rPr>
                <w:rFonts w:hint="eastAsia"/>
                <w:sz w:val="24"/>
                <w:lang w:val="en-US" w:eastAsia="zh-CN" w:bidi="ar"/>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3</w:t>
            </w:r>
            <w:r>
              <w:rPr>
                <w:rFonts w:hint="default"/>
                <w:sz w:val="24"/>
              </w:rPr>
              <w:t>8</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水土流失纠纷争议裁决</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行政裁决</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rFonts w:hint="eastAsia"/>
                <w:sz w:val="24"/>
                <w:lang w:val="en-US" w:eastAsia="zh-CN" w:bidi="ar"/>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3</w:t>
            </w:r>
            <w:r>
              <w:rPr>
                <w:rFonts w:hint="default"/>
                <w:sz w:val="24"/>
              </w:rPr>
              <w:t>9</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违反河道管理条例经济损失调处</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行政裁决</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rFonts w:hint="eastAsia"/>
                <w:sz w:val="24"/>
                <w:lang w:val="en-US" w:eastAsia="zh-CN" w:bidi="ar"/>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4</w:t>
            </w:r>
            <w:r>
              <w:rPr>
                <w:rFonts w:hint="default"/>
                <w:sz w:val="24"/>
              </w:rPr>
              <w:t>0</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对营业性演出举报人的奖励</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eastAsia" w:eastAsia="方正仿宋_GBK"/>
                <w:sz w:val="24"/>
                <w:lang w:eastAsia="zh-CN"/>
              </w:rPr>
            </w:pPr>
            <w:r>
              <w:rPr>
                <w:sz w:val="24"/>
                <w:lang w:bidi="ar"/>
              </w:rPr>
              <w:t>县</w:t>
            </w:r>
            <w:r>
              <w:rPr>
                <w:rFonts w:hint="default"/>
                <w:sz w:val="24"/>
                <w:lang w:bidi="ar"/>
              </w:rPr>
              <w:t>文化和旅游</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41</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sz w:val="24"/>
              </w:rPr>
            </w:pPr>
            <w:r>
              <w:rPr>
                <w:sz w:val="24"/>
              </w:rPr>
              <w:t>承担预防接种工作的医疗卫生机构（接种单位）的确认</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行政确认</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eastAsia" w:eastAsia="方正仿宋_GBK"/>
                <w:sz w:val="24"/>
                <w:lang w:val="en-US" w:eastAsia="zh-CN" w:bidi="ar"/>
              </w:rPr>
            </w:pPr>
            <w:r>
              <w:rPr>
                <w:sz w:val="24"/>
                <w:lang w:bidi="ar"/>
              </w:rPr>
              <w:t>县</w:t>
            </w:r>
            <w:r>
              <w:rPr>
                <w:rFonts w:hint="default"/>
                <w:sz w:val="24"/>
                <w:lang w:bidi="ar"/>
              </w:rPr>
              <w:t>卫生健康</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42</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color w:val="000000"/>
                <w:sz w:val="24"/>
              </w:rPr>
            </w:pPr>
            <w:r>
              <w:rPr>
                <w:color w:val="000000"/>
                <w:sz w:val="24"/>
              </w:rPr>
              <w:t>对婚前医学检查、遗传病诊断和产前诊断结果有异议的医学技术鉴定</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行政确认</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sz w:val="24"/>
              </w:rPr>
            </w:pPr>
            <w:r>
              <w:rPr>
                <w:sz w:val="24"/>
                <w:lang w:bidi="ar"/>
              </w:rPr>
              <w:t>县</w:t>
            </w:r>
            <w:r>
              <w:rPr>
                <w:rFonts w:hint="default"/>
                <w:sz w:val="24"/>
                <w:lang w:bidi="ar"/>
              </w:rPr>
              <w:t>卫生健康</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43</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出生医学证明签发、补发、换发</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公共服务</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sz w:val="24"/>
              </w:rPr>
            </w:pPr>
            <w:r>
              <w:rPr>
                <w:rFonts w:cs="宋体"/>
                <w:sz w:val="24"/>
              </w:rPr>
              <w:t>有助产资质的医疗保健机构</w:t>
            </w:r>
            <w:r>
              <w:rPr>
                <w:sz w:val="24"/>
                <w:lang w:bidi="ar"/>
              </w:rPr>
              <w:t>或县</w:t>
            </w:r>
            <w:r>
              <w:rPr>
                <w:rFonts w:hint="default"/>
                <w:sz w:val="24"/>
                <w:lang w:bidi="ar"/>
              </w:rPr>
              <w:t>卫生健康</w:t>
            </w:r>
            <w:r>
              <w:rPr>
                <w:rFonts w:hint="eastAsia"/>
                <w:sz w:val="24"/>
                <w:lang w:val="en-US" w:eastAsia="zh-CN" w:bidi="ar"/>
              </w:rPr>
              <w:t>局</w:t>
            </w:r>
            <w:r>
              <w:rPr>
                <w:sz w:val="24"/>
                <w:lang w:bidi="ar"/>
              </w:rPr>
              <w:t>委托的公共卫生管理机构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44</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烈士评定</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行政确认</w:t>
            </w:r>
          </w:p>
        </w:tc>
        <w:tc>
          <w:tcPr>
            <w:tcW w:w="1172" w:type="pct"/>
            <w:noWrap w:val="0"/>
            <w:tcMar>
              <w:top w:w="6" w:type="dxa"/>
              <w:left w:w="108" w:type="dxa"/>
              <w:bottom w:w="6" w:type="dxa"/>
              <w:right w:w="108" w:type="dxa"/>
            </w:tcMar>
            <w:vAlign w:val="center"/>
          </w:tcPr>
          <w:p>
            <w:pPr>
              <w:overflowPunct w:val="0"/>
              <w:spacing w:line="320" w:lineRule="exact"/>
              <w:textAlignment w:val="center"/>
              <w:rPr>
                <w:rFonts w:hint="eastAsia" w:eastAsia="方正仿宋_GBK"/>
                <w:sz w:val="24"/>
                <w:lang w:val="en-US" w:eastAsia="zh-CN"/>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45</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伤残等级评定</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行政确认</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46</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伤残抚恤关系接收、转移办理</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行政确认</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47</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在乡复员军人定期定量补助的认定</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行政确认</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4</w:t>
            </w:r>
            <w:r>
              <w:rPr>
                <w:rFonts w:hint="default"/>
                <w:sz w:val="24"/>
              </w:rPr>
              <w:t>8</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烈士褒扬金的给付</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4</w:t>
            </w:r>
            <w:r>
              <w:rPr>
                <w:rFonts w:hint="default"/>
                <w:sz w:val="24"/>
              </w:rPr>
              <w:t>9</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烈士遗属、因公牺牲军人遗属、病故军人遗属定期抚恤金的给付</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50</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烈士遗属、因公牺牲军人遗属、病故军人遗属一次性抚恤金的给付</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51</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部分烈士（含错杀后被平反人员）子女认定及生活补助给付</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52</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享受定期抚恤金的烈属、因公牺牲军人遗属、病故军人遗属丧葬补助费的给付</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53</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伤残人员抚恤待遇发放</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54</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一至四级分散供养残疾士兵购（建）房补助</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sz w:val="24"/>
                <w:lang w:bidi="ar"/>
              </w:rPr>
              <w:t>县级退役军人事务部门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55</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退出现役残疾军人配制假肢、代步三轮车给付</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56</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退出现役的残疾军人病故丧葬补助费的给付</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57</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退出现役的残疾军人残疾抚恤金的给付</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5</w:t>
            </w:r>
            <w:r>
              <w:rPr>
                <w:rFonts w:hint="default"/>
                <w:sz w:val="24"/>
              </w:rPr>
              <w:t>8</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义务兵家庭优待金给付</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5</w:t>
            </w:r>
            <w:r>
              <w:rPr>
                <w:rFonts w:hint="default"/>
                <w:sz w:val="24"/>
              </w:rPr>
              <w:t>9</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自主择业军转干部去世后一次性抚恤金和丧葬费补助给付</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6</w:t>
            </w:r>
            <w:r>
              <w:rPr>
                <w:rFonts w:hint="default"/>
                <w:sz w:val="24"/>
              </w:rPr>
              <w:t>0</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优抚对象医疗保障</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overflowPunct w:val="0"/>
              <w:spacing w:line="320" w:lineRule="exact"/>
              <w:textAlignment w:val="center"/>
              <w:rPr>
                <w:sz w:val="24"/>
              </w:rPr>
            </w:pPr>
            <w:r>
              <w:rPr>
                <w:rFonts w:hint="eastAsia"/>
                <w:sz w:val="24"/>
                <w:lang w:bidi="ar"/>
              </w:rPr>
              <w:t>县</w:t>
            </w:r>
            <w:r>
              <w:rPr>
                <w:sz w:val="24"/>
                <w:lang w:bidi="ar"/>
              </w:rPr>
              <w:t>退役军人事务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61</w:t>
            </w:r>
          </w:p>
        </w:tc>
        <w:tc>
          <w:tcPr>
            <w:tcW w:w="118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r>
              <w:rPr>
                <w:sz w:val="24"/>
              </w:rPr>
              <w:t>自然灾害救助资金给付</w:t>
            </w:r>
          </w:p>
        </w:tc>
        <w:tc>
          <w:tcPr>
            <w:tcW w:w="1501"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行政给付</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eastAsia" w:eastAsia="方正仿宋_GBK"/>
                <w:sz w:val="24"/>
                <w:lang w:eastAsia="zh-CN"/>
              </w:rPr>
            </w:pPr>
            <w:r>
              <w:rPr>
                <w:rFonts w:hint="default"/>
                <w:color w:val="000000"/>
                <w:kern w:val="0"/>
                <w:sz w:val="24"/>
                <w:lang w:bidi="ar"/>
              </w:rPr>
              <w:t>县应急管理</w:t>
            </w:r>
            <w:r>
              <w:rPr>
                <w:rFonts w:hint="eastAsia"/>
                <w:color w:val="000000"/>
                <w:kern w:val="0"/>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62</w:t>
            </w:r>
          </w:p>
        </w:tc>
        <w:tc>
          <w:tcPr>
            <w:tcW w:w="118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rPr>
              <w:t>对报告重大事故隐患或者举报安全生产违法行为的奖励</w:t>
            </w:r>
          </w:p>
        </w:tc>
        <w:tc>
          <w:tcPr>
            <w:tcW w:w="150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0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00" w:lineRule="exact"/>
              <w:jc w:val="both"/>
              <w:textAlignment w:val="center"/>
              <w:rPr>
                <w:rFonts w:hint="eastAsia" w:eastAsia="方正仿宋_GBK"/>
                <w:sz w:val="24"/>
                <w:lang w:eastAsia="zh-CN"/>
              </w:rPr>
            </w:pPr>
            <w:r>
              <w:rPr>
                <w:sz w:val="24"/>
                <w:lang w:bidi="ar"/>
              </w:rPr>
              <w:t>县</w:t>
            </w:r>
            <w:r>
              <w:rPr>
                <w:rFonts w:hint="default"/>
                <w:sz w:val="24"/>
                <w:lang w:bidi="ar"/>
              </w:rPr>
              <w:t>应急管理</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19" w:type="pct"/>
            <w:vMerge w:val="restar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63</w:t>
            </w:r>
          </w:p>
        </w:tc>
        <w:tc>
          <w:tcPr>
            <w:tcW w:w="1181" w:type="pct"/>
            <w:vMerge w:val="restart"/>
            <w:noWrap w:val="0"/>
            <w:tcMar>
              <w:top w:w="6" w:type="dxa"/>
              <w:left w:w="108" w:type="dxa"/>
              <w:bottom w:w="6" w:type="dxa"/>
              <w:right w:w="108" w:type="dxa"/>
            </w:tcMar>
            <w:vAlign w:val="center"/>
          </w:tcPr>
          <w:p>
            <w:pPr>
              <w:overflowPunct w:val="0"/>
              <w:spacing w:line="300" w:lineRule="exact"/>
              <w:textAlignment w:val="center"/>
              <w:rPr>
                <w:sz w:val="24"/>
              </w:rPr>
            </w:pPr>
            <w:r>
              <w:rPr>
                <w:sz w:val="24"/>
              </w:rPr>
              <w:t>市场监管领域违法行为举报奖励</w:t>
            </w:r>
          </w:p>
        </w:tc>
        <w:tc>
          <w:tcPr>
            <w:tcW w:w="150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rPr>
              <w:t>对价格违法行为举报的奖励</w:t>
            </w:r>
          </w:p>
        </w:tc>
        <w:tc>
          <w:tcPr>
            <w:tcW w:w="725" w:type="pct"/>
            <w:noWrap w:val="0"/>
            <w:tcMar>
              <w:top w:w="6" w:type="dxa"/>
              <w:left w:w="108" w:type="dxa"/>
              <w:bottom w:w="6" w:type="dxa"/>
              <w:right w:w="108" w:type="dxa"/>
            </w:tcMar>
            <w:vAlign w:val="center"/>
          </w:tcPr>
          <w:p>
            <w:pPr>
              <w:pStyle w:val="9"/>
              <w:overflowPunct w:val="0"/>
              <w:spacing w:line="30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00" w:lineRule="exact"/>
              <w:jc w:val="both"/>
              <w:textAlignment w:val="center"/>
              <w:rPr>
                <w:rFonts w:hint="eastAsia" w:eastAsia="方正仿宋_GBK"/>
                <w:sz w:val="24"/>
                <w:lang w:val="en-US" w:eastAsia="zh-CN"/>
              </w:rPr>
            </w:pPr>
            <w:r>
              <w:rPr>
                <w:sz w:val="24"/>
                <w:lang w:bidi="ar"/>
              </w:rPr>
              <w:t>县</w:t>
            </w:r>
            <w:r>
              <w:rPr>
                <w:rFonts w:hint="eastAsia"/>
                <w:sz w:val="24"/>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overflowPunct w:val="0"/>
              <w:spacing w:line="300" w:lineRule="exact"/>
              <w:textAlignment w:val="center"/>
              <w:rPr>
                <w:sz w:val="24"/>
              </w:rPr>
            </w:pPr>
          </w:p>
        </w:tc>
        <w:tc>
          <w:tcPr>
            <w:tcW w:w="150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rPr>
              <w:t>对检举产品质量违法行为的奖励</w:t>
            </w:r>
          </w:p>
        </w:tc>
        <w:tc>
          <w:tcPr>
            <w:tcW w:w="725" w:type="pct"/>
            <w:noWrap w:val="0"/>
            <w:tcMar>
              <w:top w:w="6" w:type="dxa"/>
              <w:left w:w="108" w:type="dxa"/>
              <w:bottom w:w="6" w:type="dxa"/>
              <w:right w:w="108" w:type="dxa"/>
            </w:tcMar>
            <w:vAlign w:val="center"/>
          </w:tcPr>
          <w:p>
            <w:pPr>
              <w:pStyle w:val="9"/>
              <w:overflowPunct w:val="0"/>
              <w:spacing w:line="30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lang w:bidi="ar"/>
              </w:rPr>
              <w:t>县</w:t>
            </w:r>
            <w:r>
              <w:rPr>
                <w:rFonts w:hint="eastAsia"/>
                <w:sz w:val="24"/>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overflowPunct w:val="0"/>
              <w:spacing w:line="300" w:lineRule="exact"/>
              <w:textAlignment w:val="center"/>
              <w:rPr>
                <w:sz w:val="24"/>
              </w:rPr>
            </w:pPr>
          </w:p>
        </w:tc>
        <w:tc>
          <w:tcPr>
            <w:tcW w:w="150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rPr>
              <w:t>对举报直销经营违法行为的奖励</w:t>
            </w:r>
          </w:p>
        </w:tc>
        <w:tc>
          <w:tcPr>
            <w:tcW w:w="725" w:type="pct"/>
            <w:noWrap w:val="0"/>
            <w:tcMar>
              <w:top w:w="6" w:type="dxa"/>
              <w:left w:w="108" w:type="dxa"/>
              <w:bottom w:w="6" w:type="dxa"/>
              <w:right w:w="108" w:type="dxa"/>
            </w:tcMar>
            <w:vAlign w:val="center"/>
          </w:tcPr>
          <w:p>
            <w:pPr>
              <w:pStyle w:val="9"/>
              <w:overflowPunct w:val="0"/>
              <w:spacing w:line="30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lang w:bidi="ar"/>
              </w:rPr>
              <w:t>县</w:t>
            </w:r>
            <w:r>
              <w:rPr>
                <w:rFonts w:hint="eastAsia"/>
                <w:sz w:val="24"/>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overflowPunct w:val="0"/>
              <w:spacing w:line="300" w:lineRule="exact"/>
              <w:textAlignment w:val="center"/>
              <w:rPr>
                <w:sz w:val="24"/>
              </w:rPr>
            </w:pPr>
          </w:p>
        </w:tc>
        <w:tc>
          <w:tcPr>
            <w:tcW w:w="150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rPr>
              <w:t>食品安全举报奖励</w:t>
            </w:r>
          </w:p>
        </w:tc>
        <w:tc>
          <w:tcPr>
            <w:tcW w:w="725" w:type="pct"/>
            <w:noWrap w:val="0"/>
            <w:tcMar>
              <w:top w:w="6" w:type="dxa"/>
              <w:left w:w="108" w:type="dxa"/>
              <w:bottom w:w="6" w:type="dxa"/>
              <w:right w:w="108" w:type="dxa"/>
            </w:tcMar>
            <w:vAlign w:val="center"/>
          </w:tcPr>
          <w:p>
            <w:pPr>
              <w:pStyle w:val="9"/>
              <w:overflowPunct w:val="0"/>
              <w:spacing w:line="30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lang w:bidi="ar"/>
              </w:rPr>
              <w:t>县</w:t>
            </w:r>
            <w:r>
              <w:rPr>
                <w:rFonts w:hint="eastAsia"/>
                <w:sz w:val="24"/>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19" w:type="pct"/>
            <w:vMerge w:val="continue"/>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p>
        </w:tc>
        <w:tc>
          <w:tcPr>
            <w:tcW w:w="1181" w:type="pct"/>
            <w:vMerge w:val="continue"/>
            <w:noWrap w:val="0"/>
            <w:tcMar>
              <w:top w:w="6" w:type="dxa"/>
              <w:left w:w="108" w:type="dxa"/>
              <w:bottom w:w="6" w:type="dxa"/>
              <w:right w:w="108" w:type="dxa"/>
            </w:tcMar>
            <w:vAlign w:val="center"/>
          </w:tcPr>
          <w:p>
            <w:pPr>
              <w:overflowPunct w:val="0"/>
              <w:spacing w:line="300" w:lineRule="exact"/>
              <w:textAlignment w:val="center"/>
              <w:rPr>
                <w:sz w:val="24"/>
              </w:rPr>
            </w:pPr>
          </w:p>
        </w:tc>
        <w:tc>
          <w:tcPr>
            <w:tcW w:w="150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rPr>
              <w:t>特种设备违法行为举报奖励</w:t>
            </w:r>
          </w:p>
        </w:tc>
        <w:tc>
          <w:tcPr>
            <w:tcW w:w="725" w:type="pct"/>
            <w:noWrap w:val="0"/>
            <w:tcMar>
              <w:top w:w="6" w:type="dxa"/>
              <w:left w:w="108" w:type="dxa"/>
              <w:bottom w:w="6" w:type="dxa"/>
              <w:right w:w="108" w:type="dxa"/>
            </w:tcMar>
            <w:vAlign w:val="center"/>
          </w:tcPr>
          <w:p>
            <w:pPr>
              <w:pStyle w:val="9"/>
              <w:overflowPunct w:val="0"/>
              <w:spacing w:line="30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lang w:bidi="ar"/>
              </w:rPr>
              <w:t>县</w:t>
            </w:r>
            <w:r>
              <w:rPr>
                <w:rFonts w:hint="eastAsia"/>
                <w:sz w:val="24"/>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64</w:t>
            </w:r>
          </w:p>
        </w:tc>
        <w:tc>
          <w:tcPr>
            <w:tcW w:w="118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rPr>
              <w:t>对计量纠纷的仲裁检定</w:t>
            </w:r>
          </w:p>
        </w:tc>
        <w:tc>
          <w:tcPr>
            <w:tcW w:w="150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00" w:lineRule="exact"/>
              <w:jc w:val="center"/>
              <w:textAlignment w:val="center"/>
              <w:rPr>
                <w:rFonts w:hint="default"/>
                <w:sz w:val="24"/>
              </w:rPr>
            </w:pPr>
            <w:r>
              <w:rPr>
                <w:sz w:val="24"/>
              </w:rPr>
              <w:t>行政裁决</w:t>
            </w:r>
          </w:p>
        </w:tc>
        <w:tc>
          <w:tcPr>
            <w:tcW w:w="1172" w:type="pct"/>
            <w:noWrap w:val="0"/>
            <w:tcMar>
              <w:top w:w="6" w:type="dxa"/>
              <w:left w:w="108" w:type="dxa"/>
              <w:bottom w:w="6" w:type="dxa"/>
              <w:right w:w="108" w:type="dxa"/>
            </w:tcMar>
            <w:vAlign w:val="center"/>
          </w:tcPr>
          <w:p>
            <w:pPr>
              <w:overflowPunct w:val="0"/>
              <w:spacing w:line="300" w:lineRule="exact"/>
              <w:textAlignment w:val="center"/>
              <w:rPr>
                <w:sz w:val="24"/>
              </w:rPr>
            </w:pPr>
            <w:r>
              <w:rPr>
                <w:sz w:val="24"/>
                <w:lang w:bidi="ar"/>
              </w:rPr>
              <w:t>县</w:t>
            </w:r>
            <w:r>
              <w:rPr>
                <w:rFonts w:hint="eastAsia"/>
                <w:sz w:val="24"/>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65</w:t>
            </w:r>
          </w:p>
        </w:tc>
        <w:tc>
          <w:tcPr>
            <w:tcW w:w="118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rPr>
              <w:t>对企业名称争议的裁决</w:t>
            </w:r>
          </w:p>
        </w:tc>
        <w:tc>
          <w:tcPr>
            <w:tcW w:w="150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00" w:lineRule="exact"/>
              <w:jc w:val="center"/>
              <w:textAlignment w:val="center"/>
              <w:rPr>
                <w:rFonts w:hint="default"/>
                <w:sz w:val="24"/>
              </w:rPr>
            </w:pPr>
            <w:r>
              <w:rPr>
                <w:sz w:val="24"/>
              </w:rPr>
              <w:t>行政裁决</w:t>
            </w:r>
          </w:p>
        </w:tc>
        <w:tc>
          <w:tcPr>
            <w:tcW w:w="1172" w:type="pct"/>
            <w:noWrap w:val="0"/>
            <w:tcMar>
              <w:top w:w="6" w:type="dxa"/>
              <w:left w:w="108" w:type="dxa"/>
              <w:bottom w:w="6" w:type="dxa"/>
              <w:right w:w="108" w:type="dxa"/>
            </w:tcMar>
            <w:vAlign w:val="center"/>
          </w:tcPr>
          <w:p>
            <w:pPr>
              <w:overflowPunct w:val="0"/>
              <w:spacing w:line="300" w:lineRule="exact"/>
              <w:textAlignment w:val="center"/>
              <w:rPr>
                <w:sz w:val="24"/>
              </w:rPr>
            </w:pPr>
            <w:r>
              <w:rPr>
                <w:sz w:val="24"/>
                <w:lang w:bidi="ar"/>
              </w:rPr>
              <w:t>县</w:t>
            </w:r>
            <w:r>
              <w:rPr>
                <w:rFonts w:hint="eastAsia"/>
                <w:sz w:val="24"/>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6</w:t>
            </w:r>
            <w:r>
              <w:rPr>
                <w:rFonts w:hint="default"/>
                <w:sz w:val="24"/>
              </w:rPr>
              <w:t>6</w:t>
            </w:r>
          </w:p>
        </w:tc>
        <w:tc>
          <w:tcPr>
            <w:tcW w:w="118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rPr>
              <w:t>对专利申请权和专利权归属等纠纷的调解</w:t>
            </w:r>
          </w:p>
        </w:tc>
        <w:tc>
          <w:tcPr>
            <w:tcW w:w="150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00" w:lineRule="exact"/>
              <w:jc w:val="center"/>
              <w:textAlignment w:val="center"/>
              <w:rPr>
                <w:rFonts w:hint="default"/>
                <w:sz w:val="24"/>
              </w:rPr>
            </w:pPr>
            <w:r>
              <w:rPr>
                <w:sz w:val="24"/>
              </w:rPr>
              <w:t>公共服务</w:t>
            </w:r>
          </w:p>
        </w:tc>
        <w:tc>
          <w:tcPr>
            <w:tcW w:w="1172" w:type="pct"/>
            <w:noWrap w:val="0"/>
            <w:tcMar>
              <w:top w:w="6" w:type="dxa"/>
              <w:left w:w="108" w:type="dxa"/>
              <w:bottom w:w="6" w:type="dxa"/>
              <w:right w:w="108" w:type="dxa"/>
            </w:tcMar>
            <w:vAlign w:val="center"/>
          </w:tcPr>
          <w:p>
            <w:pPr>
              <w:overflowPunct w:val="0"/>
              <w:spacing w:line="300" w:lineRule="exact"/>
              <w:textAlignment w:val="center"/>
              <w:rPr>
                <w:sz w:val="24"/>
              </w:rPr>
            </w:pPr>
            <w:r>
              <w:rPr>
                <w:sz w:val="24"/>
                <w:lang w:bidi="ar"/>
              </w:rPr>
              <w:t>县</w:t>
            </w:r>
            <w:r>
              <w:rPr>
                <w:rFonts w:hint="eastAsia"/>
                <w:sz w:val="24"/>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6</w:t>
            </w:r>
            <w:r>
              <w:rPr>
                <w:rFonts w:hint="default"/>
                <w:sz w:val="24"/>
              </w:rPr>
              <w:t>7</w:t>
            </w:r>
          </w:p>
        </w:tc>
        <w:tc>
          <w:tcPr>
            <w:tcW w:w="1181" w:type="pct"/>
            <w:noWrap w:val="0"/>
            <w:tcMar>
              <w:top w:w="6" w:type="dxa"/>
              <w:left w:w="108" w:type="dxa"/>
              <w:bottom w:w="6" w:type="dxa"/>
              <w:right w:w="108" w:type="dxa"/>
            </w:tcMar>
            <w:vAlign w:val="center"/>
          </w:tcPr>
          <w:p>
            <w:pPr>
              <w:pStyle w:val="9"/>
              <w:overflowPunct w:val="0"/>
              <w:spacing w:line="300" w:lineRule="exact"/>
              <w:jc w:val="both"/>
              <w:textAlignment w:val="center"/>
              <w:rPr>
                <w:sz w:val="24"/>
              </w:rPr>
            </w:pPr>
            <w:r>
              <w:rPr>
                <w:sz w:val="24"/>
              </w:rPr>
              <w:t>林草植物检疫证书核发</w:t>
            </w:r>
          </w:p>
        </w:tc>
        <w:tc>
          <w:tcPr>
            <w:tcW w:w="150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00" w:lineRule="exact"/>
              <w:jc w:val="center"/>
              <w:textAlignment w:val="center"/>
              <w:rPr>
                <w:sz w:val="24"/>
              </w:rPr>
            </w:pPr>
            <w:r>
              <w:rPr>
                <w:sz w:val="24"/>
              </w:rPr>
              <w:t>行政许可</w:t>
            </w:r>
          </w:p>
        </w:tc>
        <w:tc>
          <w:tcPr>
            <w:tcW w:w="1172" w:type="pct"/>
            <w:noWrap w:val="0"/>
            <w:tcMar>
              <w:top w:w="6" w:type="dxa"/>
              <w:left w:w="108" w:type="dxa"/>
              <w:bottom w:w="6" w:type="dxa"/>
              <w:right w:w="108" w:type="dxa"/>
            </w:tcMar>
            <w:vAlign w:val="center"/>
          </w:tcPr>
          <w:p>
            <w:pPr>
              <w:overflowPunct w:val="0"/>
              <w:spacing w:line="300" w:lineRule="exact"/>
              <w:textAlignment w:val="center"/>
              <w:rPr>
                <w:rFonts w:hint="default" w:eastAsia="方正仿宋_GBK"/>
                <w:sz w:val="24"/>
                <w:lang w:val="en-US" w:eastAsia="zh-CN" w:bidi="ar"/>
              </w:rPr>
            </w:pPr>
            <w:r>
              <w:rPr>
                <w:sz w:val="24"/>
                <w:lang w:bidi="ar"/>
              </w:rPr>
              <w:t>县</w:t>
            </w:r>
            <w:r>
              <w:rPr>
                <w:rFonts w:hint="eastAsia"/>
                <w:sz w:val="24"/>
                <w:lang w:val="en-US" w:eastAsia="zh-CN" w:bidi="ar"/>
              </w:rPr>
              <w:t>林业和草原局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68</w:t>
            </w:r>
          </w:p>
        </w:tc>
        <w:tc>
          <w:tcPr>
            <w:tcW w:w="118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rPr>
              <w:t>对统计中弄虚作假等违法行为检举有功的单位和个人给予表彰和奖励</w:t>
            </w:r>
          </w:p>
        </w:tc>
        <w:tc>
          <w:tcPr>
            <w:tcW w:w="150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0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00" w:lineRule="exact"/>
              <w:jc w:val="both"/>
              <w:textAlignment w:val="center"/>
              <w:rPr>
                <w:rFonts w:hint="eastAsia" w:eastAsia="方正仿宋_GBK"/>
                <w:sz w:val="24"/>
                <w:lang w:eastAsia="zh-CN"/>
              </w:rPr>
            </w:pPr>
            <w:r>
              <w:rPr>
                <w:sz w:val="24"/>
                <w:lang w:bidi="ar"/>
              </w:rPr>
              <w:t>县</w:t>
            </w:r>
            <w:r>
              <w:rPr>
                <w:rFonts w:hint="default"/>
                <w:sz w:val="24"/>
                <w:lang w:bidi="ar"/>
              </w:rPr>
              <w:t>统计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6</w:t>
            </w:r>
            <w:r>
              <w:rPr>
                <w:rFonts w:hint="default"/>
                <w:sz w:val="24"/>
              </w:rPr>
              <w:t>9</w:t>
            </w:r>
          </w:p>
        </w:tc>
        <w:tc>
          <w:tcPr>
            <w:tcW w:w="118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rPr>
              <w:t>对重大国情国力普查违法行为举报有功的个人给予奖励</w:t>
            </w:r>
          </w:p>
        </w:tc>
        <w:tc>
          <w:tcPr>
            <w:tcW w:w="150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0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sz w:val="24"/>
                <w:lang w:bidi="ar"/>
              </w:rPr>
              <w:t>县</w:t>
            </w:r>
            <w:r>
              <w:rPr>
                <w:rFonts w:hint="default"/>
                <w:sz w:val="24"/>
                <w:lang w:bidi="ar"/>
              </w:rPr>
              <w:t>统计</w:t>
            </w:r>
            <w:r>
              <w:rPr>
                <w:rFonts w:hint="eastAsia"/>
                <w:sz w:val="24"/>
                <w:lang w:val="en-US" w:eastAsia="zh-CN"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sz w:val="24"/>
              </w:rPr>
            </w:pPr>
            <w:r>
              <w:rPr>
                <w:sz w:val="24"/>
              </w:rPr>
              <w:t>7</w:t>
            </w:r>
            <w:r>
              <w:rPr>
                <w:rFonts w:hint="default"/>
                <w:sz w:val="24"/>
              </w:rPr>
              <w:t>0</w:t>
            </w:r>
          </w:p>
        </w:tc>
        <w:tc>
          <w:tcPr>
            <w:tcW w:w="118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sz w:val="24"/>
              </w:rPr>
              <w:t>拆除人民防空工程审批</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10" w:lineRule="exact"/>
              <w:jc w:val="center"/>
              <w:textAlignment w:val="center"/>
              <w:rPr>
                <w:rFonts w:hint="default"/>
                <w:sz w:val="24"/>
              </w:rPr>
            </w:pPr>
            <w:r>
              <w:rPr>
                <w:sz w:val="24"/>
              </w:rPr>
              <w:t>行政许可</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eastAsia="方正仿宋_GBK"/>
                <w:sz w:val="24"/>
                <w:lang w:val="en-US" w:eastAsia="zh-CN"/>
              </w:rPr>
            </w:pPr>
            <w:r>
              <w:rPr>
                <w:sz w:val="24"/>
                <w:lang w:bidi="ar"/>
              </w:rPr>
              <w:t>县</w:t>
            </w:r>
            <w:r>
              <w:rPr>
                <w:rFonts w:hint="eastAsia"/>
                <w:sz w:val="24"/>
                <w:lang w:val="en-US" w:eastAsia="zh-CN" w:bidi="ar"/>
              </w:rPr>
              <w:t>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7</w:t>
            </w:r>
            <w:r>
              <w:rPr>
                <w:sz w:val="24"/>
              </w:rPr>
              <w:t>1</w:t>
            </w:r>
          </w:p>
        </w:tc>
        <w:tc>
          <w:tcPr>
            <w:tcW w:w="1181" w:type="pct"/>
            <w:noWrap w:val="0"/>
            <w:tcMar>
              <w:top w:w="6" w:type="dxa"/>
              <w:left w:w="108" w:type="dxa"/>
              <w:bottom w:w="6" w:type="dxa"/>
              <w:right w:w="108" w:type="dxa"/>
            </w:tcMar>
            <w:vAlign w:val="center"/>
          </w:tcPr>
          <w:p>
            <w:pPr>
              <w:pStyle w:val="9"/>
              <w:overflowPunct w:val="0"/>
              <w:spacing w:line="300" w:lineRule="exact"/>
              <w:jc w:val="both"/>
              <w:textAlignment w:val="center"/>
              <w:rPr>
                <w:sz w:val="24"/>
              </w:rPr>
            </w:pPr>
            <w:r>
              <w:rPr>
                <w:sz w:val="24"/>
              </w:rPr>
              <w:t>基本医疗保险参保人员享受门诊慢特病病种待遇认定</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10" w:lineRule="exact"/>
              <w:jc w:val="center"/>
              <w:textAlignment w:val="center"/>
              <w:rPr>
                <w:sz w:val="24"/>
              </w:rPr>
            </w:pPr>
            <w:r>
              <w:rPr>
                <w:sz w:val="24"/>
              </w:rPr>
              <w:t>公共服务</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eastAsia" w:eastAsia="方正仿宋_GBK"/>
                <w:sz w:val="24"/>
                <w:lang w:eastAsia="zh-CN" w:bidi="ar"/>
              </w:rPr>
            </w:pPr>
            <w:r>
              <w:rPr>
                <w:sz w:val="24"/>
                <w:lang w:bidi="ar"/>
              </w:rPr>
              <w:t>县</w:t>
            </w:r>
            <w:r>
              <w:rPr>
                <w:rFonts w:hint="eastAsia"/>
                <w:sz w:val="24"/>
                <w:lang w:val="en-US" w:eastAsia="zh-CN" w:bidi="ar"/>
              </w:rPr>
              <w:t>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color w:val="000000"/>
                <w:sz w:val="24"/>
              </w:rPr>
            </w:pPr>
            <w:r>
              <w:rPr>
                <w:rFonts w:hint="default"/>
                <w:color w:val="000000"/>
                <w:sz w:val="24"/>
              </w:rPr>
              <w:t>7</w:t>
            </w:r>
            <w:r>
              <w:rPr>
                <w:color w:val="000000"/>
                <w:sz w:val="24"/>
              </w:rPr>
              <w:t>2</w:t>
            </w:r>
          </w:p>
        </w:tc>
        <w:tc>
          <w:tcPr>
            <w:tcW w:w="118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r>
              <w:rPr>
                <w:sz w:val="24"/>
              </w:rPr>
              <w:t>药品、医疗器械、化妆品违法犯罪行为举报奖励</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10" w:lineRule="exact"/>
              <w:jc w:val="center"/>
              <w:textAlignment w:val="center"/>
              <w:rPr>
                <w:rFonts w:hint="default"/>
                <w:sz w:val="24"/>
              </w:rPr>
            </w:pPr>
            <w:r>
              <w:rPr>
                <w:sz w:val="24"/>
              </w:rPr>
              <w:t>行政奖励</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default" w:eastAsia="方正仿宋_GBK"/>
                <w:sz w:val="24"/>
                <w:lang w:val="en-US" w:eastAsia="zh-CN"/>
              </w:rPr>
            </w:pPr>
            <w:r>
              <w:rPr>
                <w:sz w:val="24"/>
                <w:lang w:bidi="ar"/>
              </w:rPr>
              <w:t>县</w:t>
            </w:r>
            <w:r>
              <w:rPr>
                <w:rFonts w:hint="eastAsia"/>
                <w:sz w:val="24"/>
                <w:lang w:val="en-US" w:eastAsia="zh-CN" w:bidi="ar"/>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7</w:t>
            </w:r>
            <w:r>
              <w:rPr>
                <w:sz w:val="24"/>
              </w:rPr>
              <w:t>3</w:t>
            </w:r>
          </w:p>
        </w:tc>
        <w:tc>
          <w:tcPr>
            <w:tcW w:w="1181" w:type="pct"/>
            <w:noWrap w:val="0"/>
            <w:tcMar>
              <w:top w:w="6" w:type="dxa"/>
              <w:left w:w="108" w:type="dxa"/>
              <w:bottom w:w="6" w:type="dxa"/>
              <w:right w:w="108" w:type="dxa"/>
            </w:tcMar>
            <w:vAlign w:val="center"/>
          </w:tcPr>
          <w:p>
            <w:pPr>
              <w:widowControl/>
              <w:spacing w:line="260" w:lineRule="exact"/>
              <w:textAlignment w:val="center"/>
              <w:rPr>
                <w:rFonts w:hint="eastAsia"/>
                <w:color w:val="000000"/>
                <w:sz w:val="24"/>
              </w:rPr>
            </w:pPr>
            <w:r>
              <w:rPr>
                <w:color w:val="000000"/>
                <w:kern w:val="0"/>
                <w:sz w:val="24"/>
                <w:lang w:bidi="ar"/>
              </w:rPr>
              <w:t>延期移交档案审批</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color w:val="000000"/>
                <w:sz w:val="24"/>
              </w:rPr>
            </w:pPr>
          </w:p>
        </w:tc>
        <w:tc>
          <w:tcPr>
            <w:tcW w:w="725" w:type="pct"/>
            <w:noWrap w:val="0"/>
            <w:tcMar>
              <w:top w:w="6" w:type="dxa"/>
              <w:left w:w="108" w:type="dxa"/>
              <w:bottom w:w="6" w:type="dxa"/>
              <w:right w:w="108" w:type="dxa"/>
            </w:tcMar>
            <w:vAlign w:val="center"/>
          </w:tcPr>
          <w:p>
            <w:pPr>
              <w:pStyle w:val="9"/>
              <w:overflowPunct w:val="0"/>
              <w:spacing w:line="310" w:lineRule="exact"/>
              <w:jc w:val="center"/>
              <w:textAlignment w:val="center"/>
              <w:rPr>
                <w:color w:val="000000"/>
                <w:sz w:val="24"/>
              </w:rPr>
            </w:pPr>
            <w:r>
              <w:rPr>
                <w:color w:val="000000"/>
                <w:sz w:val="24"/>
              </w:rPr>
              <w:t>行政许可</w:t>
            </w:r>
          </w:p>
        </w:tc>
        <w:tc>
          <w:tcPr>
            <w:tcW w:w="1172" w:type="pct"/>
            <w:noWrap w:val="0"/>
            <w:tcMar>
              <w:top w:w="6" w:type="dxa"/>
              <w:left w:w="108" w:type="dxa"/>
              <w:bottom w:w="6" w:type="dxa"/>
              <w:right w:w="108" w:type="dxa"/>
            </w:tcMar>
            <w:vAlign w:val="center"/>
          </w:tcPr>
          <w:p>
            <w:pPr>
              <w:pStyle w:val="9"/>
              <w:overflowPunct w:val="0"/>
              <w:spacing w:line="320" w:lineRule="exact"/>
              <w:jc w:val="both"/>
              <w:textAlignment w:val="center"/>
              <w:rPr>
                <w:rFonts w:hint="eastAsia" w:eastAsia="方正仿宋_GBK"/>
                <w:color w:val="000000"/>
                <w:sz w:val="24"/>
                <w:lang w:val="en-US" w:eastAsia="zh-CN"/>
              </w:rPr>
            </w:pPr>
            <w:r>
              <w:rPr>
                <w:sz w:val="24"/>
              </w:rPr>
              <w:t>县</w:t>
            </w:r>
            <w:r>
              <w:rPr>
                <w:rFonts w:hint="default"/>
                <w:sz w:val="24"/>
              </w:rPr>
              <w:t>档案</w:t>
            </w:r>
            <w:r>
              <w:rPr>
                <w:rFonts w:hint="eastAsia"/>
                <w:sz w:val="24"/>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rFonts w:hint="default"/>
                <w:sz w:val="24"/>
              </w:rPr>
              <w:t>7</w:t>
            </w:r>
            <w:r>
              <w:rPr>
                <w:sz w:val="24"/>
              </w:rPr>
              <w:t>4</w:t>
            </w:r>
          </w:p>
        </w:tc>
        <w:tc>
          <w:tcPr>
            <w:tcW w:w="118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rFonts w:hint="default"/>
                <w:sz w:val="24"/>
              </w:rPr>
              <w:t>华侨回国定居审批</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sz w:val="24"/>
                <w:highlight w:val="yellow"/>
              </w:rPr>
            </w:pPr>
          </w:p>
        </w:tc>
        <w:tc>
          <w:tcPr>
            <w:tcW w:w="725" w:type="pct"/>
            <w:noWrap w:val="0"/>
            <w:tcMar>
              <w:top w:w="6" w:type="dxa"/>
              <w:left w:w="108" w:type="dxa"/>
              <w:bottom w:w="6" w:type="dxa"/>
              <w:right w:w="108" w:type="dxa"/>
            </w:tcMar>
            <w:vAlign w:val="center"/>
          </w:tcPr>
          <w:p>
            <w:pPr>
              <w:pStyle w:val="9"/>
              <w:overflowPunct w:val="0"/>
              <w:spacing w:line="310" w:lineRule="exact"/>
              <w:jc w:val="center"/>
              <w:textAlignment w:val="center"/>
              <w:rPr>
                <w:sz w:val="24"/>
              </w:rPr>
            </w:pPr>
            <w:r>
              <w:rPr>
                <w:sz w:val="24"/>
              </w:rPr>
              <w:t>行政许可</w:t>
            </w:r>
          </w:p>
        </w:tc>
        <w:tc>
          <w:tcPr>
            <w:tcW w:w="1172" w:type="pct"/>
            <w:noWrap w:val="0"/>
            <w:tcMar>
              <w:top w:w="6" w:type="dxa"/>
              <w:left w:w="108" w:type="dxa"/>
              <w:bottom w:w="6" w:type="dxa"/>
              <w:right w:w="108" w:type="dxa"/>
            </w:tcMar>
            <w:vAlign w:val="center"/>
          </w:tcPr>
          <w:p>
            <w:pPr>
              <w:pStyle w:val="9"/>
              <w:overflowPunct w:val="0"/>
              <w:spacing w:line="310" w:lineRule="exact"/>
              <w:jc w:val="both"/>
              <w:textAlignment w:val="center"/>
              <w:rPr>
                <w:sz w:val="24"/>
              </w:rPr>
            </w:pPr>
            <w:r>
              <w:rPr>
                <w:sz w:val="24"/>
              </w:rPr>
              <w:t>县</w:t>
            </w:r>
            <w:r>
              <w:rPr>
                <w:rFonts w:hint="default"/>
                <w:sz w:val="24"/>
              </w:rPr>
              <w:t>侨</w:t>
            </w:r>
            <w:r>
              <w:rPr>
                <w:rFonts w:hint="eastAsia"/>
                <w:sz w:val="24"/>
                <w:lang w:val="en-US" w:eastAsia="zh-CN"/>
              </w:rPr>
              <w:t>办</w:t>
            </w:r>
            <w:r>
              <w:rPr>
                <w:rFonts w:hint="default"/>
                <w:sz w:val="24"/>
              </w:rPr>
              <w:t>（初审）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9" w:type="pct"/>
            <w:noWrap w:val="0"/>
            <w:tcMar>
              <w:top w:w="6" w:type="dxa"/>
              <w:left w:w="108" w:type="dxa"/>
              <w:bottom w:w="6" w:type="dxa"/>
              <w:right w:w="108" w:type="dxa"/>
            </w:tcMar>
            <w:vAlign w:val="center"/>
          </w:tcPr>
          <w:p>
            <w:pPr>
              <w:pStyle w:val="9"/>
              <w:overflowPunct w:val="0"/>
              <w:spacing w:line="320" w:lineRule="exact"/>
              <w:jc w:val="center"/>
              <w:textAlignment w:val="center"/>
              <w:rPr>
                <w:rFonts w:hint="default"/>
                <w:sz w:val="24"/>
              </w:rPr>
            </w:pPr>
            <w:r>
              <w:rPr>
                <w:sz w:val="24"/>
              </w:rPr>
              <w:t>7</w:t>
            </w:r>
            <w:r>
              <w:rPr>
                <w:rFonts w:hint="default"/>
                <w:sz w:val="24"/>
              </w:rPr>
              <w:t>5</w:t>
            </w:r>
          </w:p>
        </w:tc>
        <w:tc>
          <w:tcPr>
            <w:tcW w:w="1181" w:type="pct"/>
            <w:noWrap w:val="0"/>
            <w:tcMar>
              <w:top w:w="6" w:type="dxa"/>
              <w:left w:w="108" w:type="dxa"/>
              <w:bottom w:w="6" w:type="dxa"/>
              <w:right w:w="108" w:type="dxa"/>
            </w:tcMar>
            <w:vAlign w:val="center"/>
          </w:tcPr>
          <w:p>
            <w:pPr>
              <w:pStyle w:val="9"/>
              <w:overflowPunct w:val="0"/>
              <w:spacing w:line="300" w:lineRule="exact"/>
              <w:jc w:val="both"/>
              <w:textAlignment w:val="center"/>
              <w:rPr>
                <w:rFonts w:hint="default"/>
                <w:sz w:val="24"/>
              </w:rPr>
            </w:pPr>
            <w:r>
              <w:rPr>
                <w:rFonts w:hint="default"/>
                <w:sz w:val="24"/>
              </w:rPr>
              <w:t>事业单位登记</w:t>
            </w:r>
          </w:p>
        </w:tc>
        <w:tc>
          <w:tcPr>
            <w:tcW w:w="1501"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sz w:val="24"/>
              </w:rPr>
            </w:pPr>
          </w:p>
        </w:tc>
        <w:tc>
          <w:tcPr>
            <w:tcW w:w="725" w:type="pct"/>
            <w:noWrap w:val="0"/>
            <w:tcMar>
              <w:top w:w="6" w:type="dxa"/>
              <w:left w:w="108" w:type="dxa"/>
              <w:bottom w:w="6" w:type="dxa"/>
              <w:right w:w="108" w:type="dxa"/>
            </w:tcMar>
            <w:vAlign w:val="center"/>
          </w:tcPr>
          <w:p>
            <w:pPr>
              <w:pStyle w:val="9"/>
              <w:overflowPunct w:val="0"/>
              <w:spacing w:line="310" w:lineRule="exact"/>
              <w:jc w:val="center"/>
              <w:textAlignment w:val="center"/>
              <w:rPr>
                <w:sz w:val="24"/>
              </w:rPr>
            </w:pPr>
            <w:r>
              <w:rPr>
                <w:sz w:val="24"/>
              </w:rPr>
              <w:t>行政许可</w:t>
            </w:r>
          </w:p>
        </w:tc>
        <w:tc>
          <w:tcPr>
            <w:tcW w:w="1172" w:type="pct"/>
            <w:noWrap w:val="0"/>
            <w:tcMar>
              <w:top w:w="6" w:type="dxa"/>
              <w:left w:w="108" w:type="dxa"/>
              <w:bottom w:w="6" w:type="dxa"/>
              <w:right w:w="108" w:type="dxa"/>
            </w:tcMar>
            <w:vAlign w:val="center"/>
          </w:tcPr>
          <w:p>
            <w:pPr>
              <w:pStyle w:val="9"/>
              <w:overflowPunct w:val="0"/>
              <w:spacing w:line="310" w:lineRule="exact"/>
              <w:jc w:val="both"/>
              <w:textAlignment w:val="center"/>
              <w:rPr>
                <w:rFonts w:hint="default" w:eastAsia="方正仿宋_GBK"/>
                <w:sz w:val="24"/>
                <w:lang w:val="en-US" w:eastAsia="zh-CN"/>
              </w:rPr>
            </w:pPr>
            <w:r>
              <w:rPr>
                <w:rFonts w:hint="eastAsia"/>
                <w:sz w:val="24"/>
                <w:lang w:val="en-US" w:eastAsia="zh-CN"/>
              </w:rPr>
              <w:t>县人力资源和社会保障局</w:t>
            </w:r>
          </w:p>
        </w:tc>
      </w:tr>
    </w:tbl>
    <w:p>
      <w:pPr>
        <w:pStyle w:val="9"/>
        <w:spacing w:line="360" w:lineRule="exact"/>
        <w:jc w:val="both"/>
        <w:rPr>
          <w:rFonts w:hint="default"/>
          <w:sz w:val="24"/>
        </w:rPr>
      </w:pPr>
      <w:r>
        <w:rPr>
          <w:sz w:val="24"/>
        </w:rPr>
        <w:t>备注：《云南省行政许可事项清单》、《云南省政务服务事项基本目录》对应事项有调整的，从其调整。</w:t>
      </w:r>
    </w:p>
    <w:p>
      <w:pPr>
        <w:spacing w:line="360" w:lineRule="exact"/>
        <w:ind w:firstLine="632" w:firstLineChars="200"/>
        <w:rPr>
          <w:rFonts w:hint="eastAsia" w:cs="方正仿宋_GBK"/>
          <w:kern w:val="0"/>
          <w:sz w:val="30"/>
          <w:szCs w:val="30"/>
        </w:rPr>
        <w:sectPr>
          <w:headerReference r:id="rId3" w:type="first"/>
          <w:footerReference r:id="rId5" w:type="first"/>
          <w:footerReference r:id="rId4" w:type="default"/>
          <w:pgSz w:w="11906" w:h="16838"/>
          <w:pgMar w:top="1440" w:right="1080" w:bottom="1440" w:left="1080" w:header="851" w:footer="567" w:gutter="0"/>
          <w:cols w:space="720" w:num="1"/>
          <w:titlePg/>
          <w:docGrid w:type="linesAndChars" w:linePitch="590" w:charSpace="3337"/>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rFonts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-104775</wp:posOffset>
              </wp:positionV>
              <wp:extent cx="104394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43940" cy="1828800"/>
                      </a:xfrm>
                      <a:prstGeom prst="rect">
                        <a:avLst/>
                      </a:prstGeom>
                      <a:noFill/>
                      <a:ln w="15875">
                        <a:noFill/>
                      </a:ln>
                    </wps:spPr>
                    <wps:txbx>
                      <w:txbxContent>
                        <w:p>
                          <w:pPr>
                            <w:pStyle w:val="3"/>
                            <w:jc w:val="center"/>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w:t>
                          </w:r>
                          <w:r>
                            <w:rPr>
                              <w:sz w:val="28"/>
                              <w:szCs w:val="28"/>
                            </w:rPr>
                            <w:fldChar w:fldCharType="end"/>
                          </w:r>
                          <w:r>
                            <w:rPr>
                              <w:rStyle w:val="7"/>
                              <w:rFonts w:hint="eastAsia"/>
                              <w:sz w:val="28"/>
                              <w:szCs w:val="28"/>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8.25pt;height:144pt;width:82.2pt;mso-position-horizontal:center;mso-position-horizontal-relative:margin;z-index:251659264;mso-width-relative:page;mso-height-relative:page;" filled="f" stroked="f" coordsize="21600,21600" o:gfxdata="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X0FLD2AAAAAgBAAAPAAAAAAAAAAEAIAAAACIA&#10;AABkcnMvZG93bnJldi54bWxQSwECFAAUAAAACACHTuJAqGhLYtABAACXAwAADgAAAAAAAAABACAA&#10;AAAnAQAAZHJzL2Uyb0RvYy54bWxQSwUGAAAAAAYABgBZAQAAaQUAAAAA&#10;">
              <v:fill on="f" focussize="0,0"/>
              <v:stroke on="f" weight="1.25pt"/>
              <v:imagedata o:title=""/>
              <o:lock v:ext="edit" aspectratio="f"/>
              <v:textbox inset="0mm,0mm,0mm,0mm" style="mso-fit-shape-to-text:t;">
                <w:txbxContent>
                  <w:p>
                    <w:pPr>
                      <w:pStyle w:val="3"/>
                      <w:jc w:val="center"/>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w:t>
                    </w:r>
                    <w:r>
                      <w:rPr>
                        <w:sz w:val="28"/>
                        <w:szCs w:val="28"/>
                      </w:rPr>
                      <w:fldChar w:fldCharType="end"/>
                    </w:r>
                    <w:r>
                      <w:rPr>
                        <w:rStyle w:val="7"/>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-158115</wp:posOffset>
              </wp:positionV>
              <wp:extent cx="1043940" cy="306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3940" cy="306070"/>
                      </a:xfrm>
                      <a:prstGeom prst="rect">
                        <a:avLst/>
                      </a:prstGeom>
                      <a:noFill/>
                      <a:ln w="15875">
                        <a:noFill/>
                      </a:ln>
                    </wps:spPr>
                    <wps:txbx>
                      <w:txbxContent>
                        <w:p>
                          <w:pPr>
                            <w:pStyle w:val="3"/>
                            <w:jc w:val="center"/>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12.45pt;height:24.1pt;width:82.2pt;mso-position-horizontal:center;mso-position-horizontal-relative:margin;z-index:251660288;mso-width-relative:page;mso-height-relative:page;" filled="f" stroked="f" coordsize="21600,21600" o:gfxdata="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1NiHv1gAAAAcBAAAPAAAAAAAAAAEAIAAAACIAAABkcnMvZG93bnJldi54&#10;bWxQSwECFAAUAAAACACHTuJAEhSPBsMBAAB8AwAADgAAAAAAAAABACAAAAAlAQAAZHJzL2Uyb0Rv&#10;Yy54bWxQSwUGAAAAAAYABgBZAQAAWgUAAAAA&#10;">
              <v:fill on="f" focussize="0,0"/>
              <v:stroke on="f" weight="1.25pt"/>
              <v:imagedata o:title=""/>
              <o:lock v:ext="edit" aspectratio="f"/>
              <v:textbox inset="0mm,0mm,0mm,0mm">
                <w:txbxContent>
                  <w:p>
                    <w:pPr>
                      <w:pStyle w:val="3"/>
                      <w:jc w:val="center"/>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NjQ0MmJlOTM4YzljMTIxMzEzMWM3MWY5YzQyNWIifQ=="/>
  </w:docVars>
  <w:rsids>
    <w:rsidRoot w:val="43911664"/>
    <w:rsid w:val="0B301D3F"/>
    <w:rsid w:val="24F84481"/>
    <w:rsid w:val="3328698D"/>
    <w:rsid w:val="43911664"/>
    <w:rsid w:val="656B1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_GBK" w:cs="Times New Roman"/>
      <w:kern w:val="2"/>
      <w:sz w:val="31"/>
      <w:szCs w:val="24"/>
      <w:lang w:val="en-US" w:eastAsia="zh-CN" w:bidi="ar-SA"/>
    </w:rPr>
  </w:style>
  <w:style w:type="paragraph" w:styleId="2">
    <w:name w:val="heading 2"/>
    <w:basedOn w:val="1"/>
    <w:next w:val="1"/>
    <w:qFormat/>
    <w:uiPriority w:val="0"/>
    <w:pPr>
      <w:keepNext/>
      <w:keepLines/>
      <w:spacing w:line="416" w:lineRule="auto"/>
      <w:outlineLvl w:val="1"/>
    </w:pPr>
    <w:rPr>
      <w:rFonts w:ascii="Calibri Light" w:hAnsi="Calibri Light" w:cs="Calibri Light"/>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表格表头"/>
    <w:qFormat/>
    <w:uiPriority w:val="0"/>
    <w:rPr>
      <w:rFonts w:hint="eastAsia" w:ascii="Times New Roman" w:hAnsi="Times New Roman" w:eastAsia="方正黑体_GBK"/>
      <w:sz w:val="21"/>
    </w:rPr>
  </w:style>
  <w:style w:type="paragraph" w:customStyle="1" w:styleId="9">
    <w:name w:val="表格正文"/>
    <w:basedOn w:val="1"/>
    <w:qFormat/>
    <w:uiPriority w:val="0"/>
    <w:pPr>
      <w:adjustRightInd w:val="0"/>
      <w:snapToGrid w:val="0"/>
      <w:jc w:val="left"/>
    </w:pPr>
    <w:rPr>
      <w:rFonts w:hint="eastAsia" w:eastAsia="方正仿宋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2023-09-15T01:40:00Z</dcterms:created>
  <dc:creator>lenovo</dc:creator>
  <cp:lastModifiedBy>彼岸的时光</cp:lastModifiedBy>
  <dcterms:modified xsi:type="dcterms:W3CDTF">2024-03-04T03:26:48Z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7B586BB7DBDD48EB8FC26156CAAD92A3</vt:lpwstr>
  </property>
</Properties>
</file>