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1C21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升平镇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人民政府行政裁决流程图</w:t>
      </w:r>
    </w:p>
    <w:bookmarkEnd w:id="0"/>
    <w:p w14:paraId="0682C78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386EA853"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64579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762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ZWNiMjNjN2MxZGYyYTcwYTdlNmQ4YjhkMTJlZmQifQ=="/>
  </w:docVars>
  <w:rsids>
    <w:rsidRoot w:val="697435CD"/>
    <w:rsid w:val="11297D16"/>
    <w:rsid w:val="32DD1933"/>
    <w:rsid w:val="3A1330B3"/>
    <w:rsid w:val="5DEA623A"/>
    <w:rsid w:val="5E64497D"/>
    <w:rsid w:val="6974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迪庆州德钦县党政机关单位</Company>
  <Pages>1</Pages>
  <Words>14</Words>
  <Characters>14</Characters>
  <Lines>0</Lines>
  <Paragraphs>0</Paragraphs>
  <TotalTime>49</TotalTime>
  <ScaleCrop>false</ScaleCrop>
  <LinksUpToDate>false</LinksUpToDate>
  <CharactersWithSpaces>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2020-07-14T07:35:00Z</dcterms:created>
  <dc:creator>JetaimeM1389354769</dc:creator>
  <cp:lastModifiedBy>龙四</cp:lastModifiedBy>
  <dcterms:modified xsi:type="dcterms:W3CDTF">2024-07-10T07:03:54Z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A82F3DBB98B54CACB69F13938B115704_13</vt:lpwstr>
  </property>
</Properties>
</file>