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i w:val="0"/>
          <w:color w:val="000000"/>
          <w:kern w:val="0"/>
          <w:sz w:val="30"/>
          <w:szCs w:val="30"/>
          <w:highlight w:val="none"/>
          <w:u w:val="none"/>
          <w:shd w:val="clear" w:color="auto" w:fill="auto"/>
          <w:lang w:val="en-US" w:eastAsia="zh-CN" w:bidi="ar"/>
        </w:rPr>
        <w:t xml:space="preserve">附件1 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</w:rPr>
      </w:pPr>
      <w:r>
        <w:rPr>
          <w:rFonts w:hint="eastAsia" w:ascii="宋体" w:hAnsi="宋体" w:eastAsia="方正小标宋_GBK" w:cs="方正小标宋_GBK"/>
          <w:i w:val="0"/>
          <w:color w:val="000000"/>
          <w:kern w:val="0"/>
          <w:sz w:val="40"/>
          <w:szCs w:val="40"/>
          <w:highlight w:val="none"/>
          <w:u w:val="none"/>
          <w:shd w:val="clear" w:color="auto" w:fill="auto"/>
          <w:lang w:val="en-US" w:eastAsia="zh-CN" w:bidi="ar"/>
        </w:rPr>
        <w:t>行政许可事项实施规范编制说明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  <w:lang w:eastAsia="zh-CN"/>
        </w:rPr>
        <w:t>主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</w:rPr>
        <w:t>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0"/>
          <w:szCs w:val="30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行政许可事项名称：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1.在村庄、集镇规划区内公共场所修建临时建筑等设施审批;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default"/>
          <w:lang w:val="en-US" w:eastAsia="zh-CN"/>
        </w:rPr>
      </w:pP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2.适龄儿童、少年因身体状况需要延缓入学或者休学审批。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outlineLvl w:val="1"/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主管部门：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1.县住房和城乡建设局；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 xml:space="preserve">  2.县教育体育局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三、实施机关：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 xml:space="preserve">  佛山乡人民政府。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四、设定和实施依据：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1.《村庄和集镇规划建设管理条例》；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default"/>
          <w:lang w:val="en-US" w:eastAsia="zh-CN"/>
        </w:rPr>
      </w:pP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2.《中华人民共和国义务教育法》。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五、子项：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eastAsia="zh-CN"/>
        </w:rPr>
        <w:t>根据《云南清单》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按照实际实施、全面覆盖的原则承接国务院部门已划分好的子项。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Times New Roman" w:hAnsi="Times New Roman" w:eastAsia="仿宋GB2312" w:cs="Times New Roman"/>
          <w:strike w:val="0"/>
          <w:dstrike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Times New Roman" w:hAnsi="Times New Roman" w:eastAsia="仿宋GB2312" w:cs="Times New Roman"/>
          <w:strike w:val="0"/>
          <w:dstrike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Times New Roman" w:hAnsi="Times New Roman" w:eastAsia="仿宋GB2312" w:cs="Times New Roman"/>
          <w:strike w:val="0"/>
          <w:dstrike w:val="0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3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30"/>
          <w:szCs w:val="30"/>
          <w:lang w:eastAsia="zh-CN"/>
        </w:rPr>
        <w:t>子项、办理项实施规范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Times New Roman" w:hAnsi="Times New Roman" w:eastAsia="黑体"/>
          <w:b w:val="0"/>
          <w:bCs w:val="0"/>
          <w:strike w:val="0"/>
          <w:dstrike w:val="0"/>
          <w:color w:val="auto"/>
          <w:sz w:val="30"/>
          <w:szCs w:val="30"/>
        </w:rPr>
      </w:pPr>
      <w:r>
        <w:rPr>
          <w:rFonts w:hint="eastAsia" w:ascii="Times New Roman" w:hAnsi="Times New Roman" w:eastAsia="黑体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一、基本要素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/>
        </w:rPr>
        <w:t>行政许可事项名称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及编码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行政许可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事项子项名称及编码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3.行政许可事项业务办理项名称及编码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4.设定依据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5.实施依据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eastAsia" w:ascii="宋体" w:hAnsi="宋体" w:eastAsia="方正仿宋_GBK" w:cs="Nimbus Roman No9 L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方正仿宋_GBK" w:cs="Nimbus Roman No9 L"/>
          <w:color w:val="000000"/>
          <w:sz w:val="30"/>
          <w:szCs w:val="30"/>
          <w:lang w:val="en-US" w:eastAsia="zh-CN"/>
        </w:rPr>
        <w:t>在国务院部门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行政许可事项实施规范</w:t>
      </w:r>
      <w:r>
        <w:rPr>
          <w:rFonts w:hint="eastAsia" w:ascii="宋体" w:hAnsi="宋体" w:eastAsia="方正仿宋_GBK" w:cs="Nimbus Roman No9 L"/>
          <w:color w:val="000000"/>
          <w:sz w:val="30"/>
          <w:szCs w:val="30"/>
          <w:lang w:val="en-US" w:eastAsia="zh-CN"/>
        </w:rPr>
        <w:t>基础上，根据《云南清单》进一步完善。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6.监管依据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outlineLvl w:val="1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sz w:val="30"/>
          <w:szCs w:val="30"/>
          <w:lang w:val="e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依据国务院部门行政许可事项实施规范，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结合</w:t>
      </w:r>
      <w:r>
        <w:rPr>
          <w:rFonts w:hint="eastAsia" w:ascii="宋体" w:hAnsi="宋体" w:eastAsia="方正仿宋_GBK" w:cs="Nimbus Roman No9 L"/>
          <w:color w:val="000000"/>
          <w:sz w:val="30"/>
          <w:szCs w:val="30"/>
          <w:lang w:val="en-US" w:eastAsia="zh-CN"/>
        </w:rPr>
        <w:t>《云南清单》完善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outlineLvl w:val="1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审批层级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outlineLvl w:val="1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行使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层级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Times New Roman" w:hAnsi="Times New Roman" w:eastAsia="仿宋GB2312" w:cs="Times New Roman"/>
          <w:strike w:val="0"/>
          <w:dstrike w:val="0"/>
          <w:color w:val="FF0000"/>
          <w:sz w:val="30"/>
          <w:szCs w:val="30"/>
          <w:lang w:val="en-US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是否由审批机关受理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受理层级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是否存在初审环节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初审层级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对应政务服务事项国家级基本目录名称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15.要素统一情况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国务院部门明确“全部要素全国统一”的，与国务院部门行政许可事项实施规范保持一致；</w:t>
      </w: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  <w:t>国务院部门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明确</w:t>
      </w: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  <w:t>“部分要素全国统一”的，根据实际情况可明确为“全省要素统一”。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二、行政许可事项类型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三、行政许可条件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1.准予行政许可的条件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30"/>
          <w:szCs w:val="30"/>
          <w:lang w:val="en-US" w:eastAsia="zh-CN"/>
        </w:rPr>
        <w:t>规定行政许可条件的依据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行政许可服务对象类型</w:t>
      </w: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与改革举措</w:t>
      </w:r>
    </w:p>
    <w:p>
      <w:pPr>
        <w:spacing w:line="600" w:lineRule="exact"/>
        <w:ind w:firstLine="60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1.服务对象类型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spacing w:line="600" w:lineRule="exact"/>
        <w:ind w:firstLine="60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2.是否为涉企许可事项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numPr>
          <w:ilvl w:val="0"/>
          <w:numId w:val="3"/>
        </w:numPr>
        <w:spacing w:line="600" w:lineRule="exact"/>
        <w:ind w:left="0" w:leftChars="0" w:firstLine="602" w:firstLineChars="200"/>
        <w:rPr>
          <w:rFonts w:hint="default" w:ascii="Times New Roman" w:hAnsi="Times New Roman" w:eastAsia="仿宋GB2312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涉企经营许可事项名称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numPr>
          <w:ilvl w:val="0"/>
          <w:numId w:val="3"/>
        </w:numPr>
        <w:spacing w:line="600" w:lineRule="exact"/>
        <w:ind w:left="0" w:leftChars="0" w:firstLine="60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许可证件名称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numPr>
          <w:ilvl w:val="0"/>
          <w:numId w:val="3"/>
        </w:numPr>
        <w:spacing w:line="600" w:lineRule="exact"/>
        <w:ind w:left="0" w:leftChars="0" w:firstLine="60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改革方式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在国务院部门行政许可事项实施规范基础上，</w:t>
      </w: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  <w:t>可作出有利于行政相对人的合理补充完善。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6.具体改革举措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在国务院部门行政许可事项实施规范基础上，根据完善后的“改革方式”</w:t>
      </w: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  <w:t>列明具体的改革措施。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30"/>
          <w:szCs w:val="30"/>
          <w:highlight w:val="none"/>
          <w:lang w:val="en-US" w:eastAsia="zh-CN"/>
        </w:rPr>
        <w:t>7.加强事中事后监管措施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五、申请材料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依据国务院部门行政许可事项实施规范，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结合实际情况，依法依规在“减材料”等方面</w:t>
      </w:r>
      <w:r>
        <w:rPr>
          <w:rFonts w:hint="eastAsia" w:ascii="宋体" w:hAnsi="宋体" w:eastAsia="方正仿宋_GBK" w:cs="Nimbus Roman No9 L"/>
          <w:color w:val="000000"/>
          <w:spacing w:val="0"/>
          <w:sz w:val="30"/>
          <w:szCs w:val="30"/>
          <w:lang w:val="en-US" w:eastAsia="zh-CN"/>
        </w:rPr>
        <w:t>作出有利于行政相对人的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合理优化调整，并写出相关依据和条款内容。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六、中介服务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审批程序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依据国务院部门行政许可事项实施规范，</w:t>
      </w:r>
      <w:r>
        <w:rPr>
          <w:rFonts w:hint="eastAsia" w:ascii="宋体" w:hAnsi="宋体" w:eastAsia="方正仿宋_GBK" w:cs="Nimbus Roman No9 L"/>
          <w:color w:val="000000"/>
          <w:spacing w:val="0"/>
          <w:kern w:val="0"/>
          <w:sz w:val="30"/>
          <w:szCs w:val="30"/>
          <w:lang w:val="en-US" w:eastAsia="zh-CN" w:bidi="ar-SA"/>
        </w:rPr>
        <w:t>结合实际情况，依法依规简化审批流程，压缩中间环节，减少非必要的审批程序，并写出相关依据和条款内容。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八、受理和审批时限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宋体" w:hAnsi="宋体" w:eastAsia="方正仿宋_GBK" w:cs="Nimbus Roman No9 L"/>
          <w:color w:val="auto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方正仿宋_GBK" w:cs="Nimbus Roman No9 L"/>
          <w:color w:val="auto"/>
          <w:spacing w:val="0"/>
          <w:kern w:val="0"/>
          <w:sz w:val="30"/>
          <w:szCs w:val="30"/>
          <w:lang w:val="en-US" w:eastAsia="zh-CN" w:bidi="ar-SA"/>
        </w:rPr>
        <w:t>对标先进地区进一步压减承诺审批时限，且不得超过云南省政务服务网公开的承诺时限。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九、收费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十、行政许可证件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十一、行政许可数量限制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十二、行政许可后年检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  <w:t>十三、行政许可后年报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十四、监管主体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0"/>
          <w:szCs w:val="30"/>
          <w:lang w:val="en-US" w:eastAsia="zh-CN"/>
        </w:rPr>
        <w:t>与国务院部门行政许可事项实施规范保持一致。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sz w:val="30"/>
          <w:szCs w:val="30"/>
          <w:lang w:val="en-US" w:eastAsia="zh-CN"/>
        </w:rPr>
        <w:t>依据国务院部门行政许可事项实施规范，结合《云南清单》、《云南省人民政府关于委托中国（云南）自由贸易试验区各片区管委会行使部分省级行政职权事项（第二批）的决定》（云政发〔2022〕50号）、《云南省人民政府关于委托昆明市和中国老挝磨憨—磨丁经济合作区管委会行使部分省级行政职权事项（第一批）的决定》（云政发〔2022〕49号）等进一步完善备注，增加对特殊区域（昆明、滇中新区、自贸试验区、中国老挝磨憨—磨丁经济合作区等区域）赋权的相关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ABE56"/>
    <w:multiLevelType w:val="singleLevel"/>
    <w:tmpl w:val="832ABE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E15906"/>
    <w:multiLevelType w:val="singleLevel"/>
    <w:tmpl w:val="92E159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337A55"/>
    <w:multiLevelType w:val="singleLevel"/>
    <w:tmpl w:val="36337A55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AD9435"/>
    <w:multiLevelType w:val="singleLevel"/>
    <w:tmpl w:val="55AD943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2894DBF"/>
    <w:multiLevelType w:val="singleLevel"/>
    <w:tmpl w:val="72894DB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jYyYjYyYzNkMmMyN2JkMzk2Mjk0OTkyMTQyZTgifQ=="/>
  </w:docVars>
  <w:rsids>
    <w:rsidRoot w:val="5EC877D5"/>
    <w:rsid w:val="43D302B4"/>
    <w:rsid w:val="5EC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2024-03-19T08:30:00Z</dcterms:created>
  <dc:creator>彼岸的时光</dc:creator>
  <cp:lastModifiedBy>高原无春秋</cp:lastModifiedBy>
  <dcterms:modified xsi:type="dcterms:W3CDTF">2024-03-25T07:44:24Z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02F5400E1C2B4E5DA0914D959A4DA94B_13</vt:lpwstr>
  </property>
</Properties>
</file>