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下达巴美村耿中搬迁点后续产业帮扶项目</w:t>
      </w: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德财农〔2022〕135号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佛山乡人民政府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8"/>
          <w:rFonts w:hint="eastAsia" w:ascii="Times New Roman" w:hAnsi="Times New Roman" w:eastAsia="仿宋_GB2312"/>
          <w:b w:val="0"/>
          <w:i w:val="0"/>
          <w:caps w:val="0"/>
          <w:color w:val="auto"/>
          <w:spacing w:val="0"/>
          <w:w w:val="100"/>
          <w:kern w:val="2"/>
          <w:sz w:val="32"/>
          <w:szCs w:val="32"/>
          <w:lang w:val="en-US" w:eastAsia="zh-CN" w:bidi="ar-SA"/>
        </w:rPr>
        <w:t>《</w:t>
      </w: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德钦县2022年第三批财政涉农资金项目分配方案</w:t>
      </w:r>
      <w:r>
        <w:rPr>
          <w:rStyle w:val="8"/>
          <w:rFonts w:hint="eastAsia" w:ascii="Times New Roman" w:hAnsi="Times New Roman" w:eastAsia="仿宋_GB2312"/>
          <w:b w:val="0"/>
          <w:i w:val="0"/>
          <w:caps w:val="0"/>
          <w:color w:val="auto"/>
          <w:spacing w:val="0"/>
          <w:w w:val="100"/>
          <w:kern w:val="2"/>
          <w:sz w:val="32"/>
          <w:szCs w:val="32"/>
          <w:lang w:val="en-US" w:eastAsia="zh-CN" w:bidi="ar-SA"/>
        </w:rPr>
        <w:t>》</w:t>
      </w: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（送审稿）</w:t>
      </w:r>
      <w:r>
        <w:rPr>
          <w:rStyle w:val="8"/>
          <w:rFonts w:hint="eastAsia" w:ascii="Times New Roman" w:hAnsi="Times New Roman" w:eastAsia="仿宋_GB2312"/>
          <w:b w:val="0"/>
          <w:i w:val="0"/>
          <w:caps w:val="0"/>
          <w:color w:val="auto"/>
          <w:spacing w:val="0"/>
          <w:w w:val="100"/>
          <w:kern w:val="2"/>
          <w:sz w:val="32"/>
          <w:szCs w:val="32"/>
          <w:lang w:val="en-US" w:eastAsia="zh-CN" w:bidi="ar-SA"/>
        </w:rPr>
        <w:t>文件，经</w:t>
      </w:r>
      <w:r>
        <w:rPr>
          <w:rFonts w:hint="eastAsia" w:ascii="仿宋_GB2312" w:hAnsi="仿宋_GB2312" w:eastAsia="仿宋_GB2312" w:cs="仿宋_GB2312"/>
          <w:sz w:val="32"/>
          <w:lang w:val="en-US" w:eastAsia="zh-CN"/>
        </w:rPr>
        <w:t>2022年6月20日县十五届人民政府第五次常务会议研究同意，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2022年涉农整合资金115</w:t>
      </w:r>
      <w:r>
        <w:rPr>
          <w:rFonts w:hint="eastAsia" w:ascii="仿宋_GB2312" w:hAnsi="仿宋_GB2312" w:eastAsia="仿宋_GB2312" w:cs="仿宋_GB2312"/>
          <w:sz w:val="32"/>
          <w:szCs w:val="32"/>
          <w:lang w:val="en-US" w:eastAsia="zh-CN"/>
        </w:rPr>
        <w:t>万元下达给你乡，专项用于巴美村耿中搬迁点后续产业帮扶项目（详见附件）。此款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2130599—其他巩固脱贫衔接乡村振兴支出</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切实管好用好衔接资金。认真贯彻落实党中央、国务院和省委、省政府关于巩固拓展脱贫攻坚成果同乡村振兴有效衔接的决策部署，严格按照财政部等6部委《中央财政衔接推进乡村振兴补助资金管理办法》（财农（2021J19号）《关于加强中央财政衔接推进乡村振兴补助资金使用管理的指导意见》财农［2022]4号）和《云南省财政衔接推进乡村振兴补</w:t>
      </w:r>
      <w:r>
        <w:rPr>
          <w:rFonts w:hint="eastAsia" w:ascii="仿宋_GB2312" w:hAnsi="仿宋_GB2312" w:eastAsia="仿宋_GB2312" w:cs="仿宋_GB2312"/>
          <w:b w:val="0"/>
          <w:bCs w:val="0"/>
          <w:sz w:val="32"/>
          <w:szCs w:val="32"/>
          <w:lang w:val="en-US" w:eastAsia="zh-CN"/>
        </w:rPr>
        <w:t>助资金管理办法》（云财农（2021]140号）规定安排使用资金，建立健全项目库，夯实项目前</w:t>
      </w:r>
      <w:r>
        <w:rPr>
          <w:rFonts w:hint="eastAsia" w:ascii="仿宋_GB2312" w:hAnsi="仿宋_GB2312" w:eastAsia="仿宋_GB2312" w:cs="仿宋_GB2312"/>
          <w:sz w:val="32"/>
          <w:szCs w:val="32"/>
          <w:lang w:val="en-US" w:eastAsia="zh-CN"/>
        </w:rPr>
        <w:t>期工作，强化项目实施管理，加快资金下达和支出进度，落实绩效管理要求，强化跟踪督促，提升资金使用效益。</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优先支持产业发展増收。贯彻落实中央和省委省政府关于更多依靠发展来巩固拓展脱贫攻坚成果的要求，衔接资金用于相关任务方向的资金要继续优先支持产业发展。2022年，用于产业发展的衔接资金占比原则上不得低于下达你地区资金总规模的55%，且不得低于2021年的资金占比。</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bCs w:val="0"/>
          <w:sz w:val="32"/>
          <w:szCs w:val="32"/>
          <w:lang w:val="en-US" w:eastAsia="zh-CN"/>
        </w:rPr>
        <w:t>实行脱贫县财政涉农资金统筹整合。安排给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执行。此次下达的资金因脱贫县涉农资金整合需调整绩效目标的，不再考核该部分资金对应的原任务完成情况，并按规定纳入相应部门绩效管理，请按规定备案。</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6月24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r>
        <w:rPr>
          <w:rFonts w:hint="eastAsia" w:ascii="仿宋_GB2312" w:hAnsi="仿宋_GB2312" w:eastAsia="仿宋_GB2312" w:cs="仿宋_GB2312"/>
          <w:b w:val="0"/>
          <w:bCs w:val="0"/>
          <w:sz w:val="32"/>
          <w:szCs w:val="32"/>
          <w:lang w:val="en-US" w:eastAsia="zh-CN"/>
        </w:rPr>
        <w:t>严格落实项目资</w:t>
      </w:r>
      <w:r>
        <w:rPr>
          <w:rFonts w:hint="eastAsia" w:ascii="仿宋_GB2312" w:hAnsi="仿宋_GB2312" w:eastAsia="仿宋_GB2312" w:cs="仿宋_GB2312"/>
          <w:b w:val="0"/>
          <w:i w:val="0"/>
          <w:caps w:val="0"/>
          <w:color w:val="333333"/>
          <w:spacing w:val="0"/>
          <w:sz w:val="32"/>
          <w:szCs w:val="32"/>
          <w:shd w:val="clear" w:fill="FFFFFF"/>
          <w:lang w:eastAsia="zh-CN"/>
        </w:rPr>
        <w:t>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附件：德钦县2022年第三批财政涉农资金项目表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bookmarkStart w:id="0" w:name="_GoBack"/>
      <w:bookmarkEnd w:id="0"/>
    </w:p>
    <w:p>
      <w:pPr>
        <w:rPr>
          <w:rFonts w:hint="eastAsia" w:ascii="仿宋_GB2312" w:hAnsi="仿宋_GB2312" w:eastAsia="仿宋_GB2312" w:cs="仿宋_GB2312"/>
          <w:sz w:val="20"/>
          <w:szCs w:val="20"/>
          <w:lang w:val="en-US" w:eastAsia="zh-CN"/>
        </w:rPr>
      </w:pPr>
    </w:p>
    <w:p>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附件：</w:t>
      </w: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德钦县2022年第三批财政涉农资金项目表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567"/>
        <w:gridCol w:w="1400"/>
        <w:gridCol w:w="3450"/>
        <w:gridCol w:w="1516"/>
        <w:gridCol w:w="2167"/>
        <w:gridCol w:w="1517"/>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序号</w:t>
            </w:r>
          </w:p>
        </w:tc>
        <w:tc>
          <w:tcPr>
            <w:tcW w:w="1567"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1400"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实施地点</w:t>
            </w:r>
          </w:p>
        </w:tc>
        <w:tc>
          <w:tcPr>
            <w:tcW w:w="3450"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建设内容及规模</w:t>
            </w: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（写明具体数量）</w:t>
            </w:r>
          </w:p>
        </w:tc>
        <w:tc>
          <w:tcPr>
            <w:tcW w:w="1516"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投资（万元）</w:t>
            </w:r>
          </w:p>
        </w:tc>
        <w:tc>
          <w:tcPr>
            <w:tcW w:w="2167"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绩效目标</w:t>
            </w:r>
          </w:p>
        </w:tc>
        <w:tc>
          <w:tcPr>
            <w:tcW w:w="1517"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牵头单位</w:t>
            </w:r>
          </w:p>
        </w:tc>
        <w:tc>
          <w:tcPr>
            <w:tcW w:w="1228"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29" w:type="dxa"/>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合计</w:t>
            </w:r>
          </w:p>
        </w:tc>
        <w:tc>
          <w:tcPr>
            <w:tcW w:w="1567" w:type="dxa"/>
          </w:tcPr>
          <w:p>
            <w:pPr>
              <w:bidi w:val="0"/>
              <w:jc w:val="center"/>
              <w:rPr>
                <w:rFonts w:hint="eastAsia" w:ascii="仿宋_GB2312" w:hAnsi="仿宋_GB2312" w:eastAsia="仿宋_GB2312" w:cs="仿宋_GB2312"/>
                <w:lang w:val="en-US" w:eastAsia="zh-CN"/>
              </w:rPr>
            </w:pPr>
          </w:p>
        </w:tc>
        <w:tc>
          <w:tcPr>
            <w:tcW w:w="1400" w:type="dxa"/>
          </w:tcPr>
          <w:p>
            <w:pPr>
              <w:bidi w:val="0"/>
              <w:jc w:val="center"/>
              <w:rPr>
                <w:rFonts w:hint="eastAsia" w:ascii="仿宋_GB2312" w:hAnsi="仿宋_GB2312" w:eastAsia="仿宋_GB2312" w:cs="仿宋_GB2312"/>
                <w:lang w:val="en-US" w:eastAsia="zh-CN"/>
              </w:rPr>
            </w:pPr>
          </w:p>
        </w:tc>
        <w:tc>
          <w:tcPr>
            <w:tcW w:w="3450" w:type="dxa"/>
          </w:tcPr>
          <w:p>
            <w:pPr>
              <w:bidi w:val="0"/>
              <w:jc w:val="center"/>
              <w:rPr>
                <w:rFonts w:hint="eastAsia" w:ascii="仿宋_GB2312" w:hAnsi="仿宋_GB2312" w:eastAsia="仿宋_GB2312" w:cs="仿宋_GB2312"/>
                <w:lang w:val="en-US" w:eastAsia="zh-CN"/>
              </w:rPr>
            </w:pPr>
          </w:p>
        </w:tc>
        <w:tc>
          <w:tcPr>
            <w:tcW w:w="1516" w:type="dxa"/>
          </w:tcPr>
          <w:p>
            <w:pPr>
              <w:bidi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115</w:t>
            </w:r>
          </w:p>
        </w:tc>
        <w:tc>
          <w:tcPr>
            <w:tcW w:w="2167" w:type="dxa"/>
          </w:tcPr>
          <w:p>
            <w:pPr>
              <w:bidi w:val="0"/>
              <w:jc w:val="center"/>
              <w:rPr>
                <w:rFonts w:hint="eastAsia" w:ascii="仿宋_GB2312" w:hAnsi="仿宋_GB2312" w:eastAsia="仿宋_GB2312" w:cs="仿宋_GB2312"/>
                <w:lang w:val="en-US" w:eastAsia="zh-CN"/>
              </w:rPr>
            </w:pPr>
          </w:p>
        </w:tc>
        <w:tc>
          <w:tcPr>
            <w:tcW w:w="1517" w:type="dxa"/>
          </w:tcPr>
          <w:p>
            <w:pPr>
              <w:bidi w:val="0"/>
              <w:jc w:val="center"/>
              <w:rPr>
                <w:rFonts w:hint="eastAsia" w:ascii="仿宋_GB2312" w:hAnsi="仿宋_GB2312" w:eastAsia="仿宋_GB2312" w:cs="仿宋_GB2312"/>
                <w:lang w:val="en-US" w:eastAsia="zh-CN"/>
              </w:rPr>
            </w:pPr>
          </w:p>
        </w:tc>
        <w:tc>
          <w:tcPr>
            <w:tcW w:w="1228" w:type="dxa"/>
          </w:tcPr>
          <w:p>
            <w:pPr>
              <w:bidi w:val="0"/>
              <w:jc w:val="center"/>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567" w:type="dxa"/>
          </w:tcPr>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巴美村耿中搬迁点后续产业帮扶项目</w:t>
            </w:r>
          </w:p>
        </w:tc>
        <w:tc>
          <w:tcPr>
            <w:tcW w:w="1400" w:type="dxa"/>
          </w:tcPr>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巴美村耿中搬迁点</w:t>
            </w:r>
          </w:p>
        </w:tc>
        <w:tc>
          <w:tcPr>
            <w:tcW w:w="3450" w:type="dxa"/>
          </w:tcPr>
          <w:p>
            <w:pPr>
              <w:bidi w:val="0"/>
              <w:jc w:val="both"/>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计划在巴美村耿中搬迁点建设占地为960㎡育苗大棚一栋、喷灌设施、土壤换填4291.2m³及相关配套设施，计划投入115万元。</w:t>
            </w:r>
          </w:p>
        </w:tc>
        <w:tc>
          <w:tcPr>
            <w:tcW w:w="1516" w:type="dxa"/>
          </w:tcPr>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115</w:t>
            </w:r>
          </w:p>
        </w:tc>
        <w:tc>
          <w:tcPr>
            <w:tcW w:w="2167" w:type="dxa"/>
          </w:tcPr>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是通过进行土壤改良，避免搬迁点土地出现闲置问题，可以达到有效利用土地目的；二是通过产业基础设施建设，以土地流转形式实现群众增收；三是建设搬迁点后续产业帮扶项目，可以带动搬迁点群众就近就地参与务工，达到增加群众收入目的。</w:t>
            </w:r>
          </w:p>
        </w:tc>
        <w:tc>
          <w:tcPr>
            <w:tcW w:w="1517" w:type="dxa"/>
          </w:tcPr>
          <w:p>
            <w:pPr>
              <w:bidi w:val="0"/>
              <w:jc w:val="center"/>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农业农村局</w:t>
            </w:r>
          </w:p>
        </w:tc>
        <w:tc>
          <w:tcPr>
            <w:tcW w:w="1228" w:type="dxa"/>
          </w:tcPr>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both"/>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p>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佛山乡</w:t>
            </w: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695B7032-AD7E-4372-9587-AE7570ECF824}"/>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8C9C9186-AB3F-4A8D-8144-925756806377}"/>
  </w:font>
  <w:font w:name="方正仿宋简体">
    <w:altName w:val="微软雅黑"/>
    <w:panose1 w:val="02000000000000000000"/>
    <w:charset w:val="86"/>
    <w:family w:val="script"/>
    <w:pitch w:val="default"/>
    <w:sig w:usb0="00000000" w:usb1="00000000" w:usb2="00000012" w:usb3="00000000" w:csb0="00040001" w:csb1="00000000"/>
    <w:embedRegular r:id="rId3" w:fontKey="{E82F940F-2C90-4BBF-8654-7000B44B325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7"/>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7"/>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7"/>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7"/>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25578613-8fed-46e4-a306-444db59b84f9"/>
  </w:docVars>
  <w:rsids>
    <w:rsidRoot w:val="48484976"/>
    <w:rsid w:val="00CB1EB4"/>
    <w:rsid w:val="02117D9A"/>
    <w:rsid w:val="027B752C"/>
    <w:rsid w:val="02BA5057"/>
    <w:rsid w:val="03C91070"/>
    <w:rsid w:val="079C3C62"/>
    <w:rsid w:val="08213C5F"/>
    <w:rsid w:val="093C56FD"/>
    <w:rsid w:val="0A1641A0"/>
    <w:rsid w:val="0ACB31DC"/>
    <w:rsid w:val="0ADF4592"/>
    <w:rsid w:val="0B116AD8"/>
    <w:rsid w:val="0CA3263A"/>
    <w:rsid w:val="0CD520F0"/>
    <w:rsid w:val="0D714374"/>
    <w:rsid w:val="0F1A64E0"/>
    <w:rsid w:val="11895257"/>
    <w:rsid w:val="11C162AC"/>
    <w:rsid w:val="12955E7E"/>
    <w:rsid w:val="12D44BF8"/>
    <w:rsid w:val="144F1825"/>
    <w:rsid w:val="14D02DF5"/>
    <w:rsid w:val="157601E9"/>
    <w:rsid w:val="15E10FC5"/>
    <w:rsid w:val="1890511D"/>
    <w:rsid w:val="19722A75"/>
    <w:rsid w:val="1D2B326A"/>
    <w:rsid w:val="1D813BCE"/>
    <w:rsid w:val="1DA84CB7"/>
    <w:rsid w:val="1E120AAC"/>
    <w:rsid w:val="1FB262C1"/>
    <w:rsid w:val="20126D60"/>
    <w:rsid w:val="20D61B3B"/>
    <w:rsid w:val="21A72C37"/>
    <w:rsid w:val="2217065D"/>
    <w:rsid w:val="225673D8"/>
    <w:rsid w:val="229B4DEB"/>
    <w:rsid w:val="24521E21"/>
    <w:rsid w:val="249923BC"/>
    <w:rsid w:val="27315D1D"/>
    <w:rsid w:val="277B51EB"/>
    <w:rsid w:val="27F51441"/>
    <w:rsid w:val="28C037FD"/>
    <w:rsid w:val="28D42E04"/>
    <w:rsid w:val="2A293624"/>
    <w:rsid w:val="2A6F54DA"/>
    <w:rsid w:val="2B26703D"/>
    <w:rsid w:val="2B8C5C18"/>
    <w:rsid w:val="2CA9674D"/>
    <w:rsid w:val="2E183793"/>
    <w:rsid w:val="2EC819A6"/>
    <w:rsid w:val="2F1F0B51"/>
    <w:rsid w:val="2F25260C"/>
    <w:rsid w:val="2F324D29"/>
    <w:rsid w:val="2FA84D3F"/>
    <w:rsid w:val="32C75788"/>
    <w:rsid w:val="337D24B8"/>
    <w:rsid w:val="34126ED7"/>
    <w:rsid w:val="3589141A"/>
    <w:rsid w:val="35A16764"/>
    <w:rsid w:val="363C648D"/>
    <w:rsid w:val="39C46EC5"/>
    <w:rsid w:val="39D07618"/>
    <w:rsid w:val="3A91362E"/>
    <w:rsid w:val="3AAC3BE1"/>
    <w:rsid w:val="3C90254B"/>
    <w:rsid w:val="3D9B1CEB"/>
    <w:rsid w:val="3DC01751"/>
    <w:rsid w:val="3E94330A"/>
    <w:rsid w:val="408A68FA"/>
    <w:rsid w:val="414D59F2"/>
    <w:rsid w:val="41735459"/>
    <w:rsid w:val="41AC44C7"/>
    <w:rsid w:val="42224789"/>
    <w:rsid w:val="429338D8"/>
    <w:rsid w:val="44901E7E"/>
    <w:rsid w:val="45CF5CCF"/>
    <w:rsid w:val="4629258A"/>
    <w:rsid w:val="47024B89"/>
    <w:rsid w:val="48435459"/>
    <w:rsid w:val="48484976"/>
    <w:rsid w:val="4904108C"/>
    <w:rsid w:val="4AFC4CAA"/>
    <w:rsid w:val="4B763F3F"/>
    <w:rsid w:val="4C35036D"/>
    <w:rsid w:val="4CC56D84"/>
    <w:rsid w:val="4E953345"/>
    <w:rsid w:val="4EB513C3"/>
    <w:rsid w:val="4F9B1821"/>
    <w:rsid w:val="50FB0FC7"/>
    <w:rsid w:val="51597A9B"/>
    <w:rsid w:val="51BD002A"/>
    <w:rsid w:val="5248023B"/>
    <w:rsid w:val="533B7DA0"/>
    <w:rsid w:val="53CC6C4A"/>
    <w:rsid w:val="556A671B"/>
    <w:rsid w:val="56E717A3"/>
    <w:rsid w:val="57596A47"/>
    <w:rsid w:val="57CD4D3F"/>
    <w:rsid w:val="58FC1D80"/>
    <w:rsid w:val="59BE32E8"/>
    <w:rsid w:val="5A0E3B19"/>
    <w:rsid w:val="5B157129"/>
    <w:rsid w:val="5BEF34D6"/>
    <w:rsid w:val="5C9522CF"/>
    <w:rsid w:val="5E5E2EA3"/>
    <w:rsid w:val="5EF157B7"/>
    <w:rsid w:val="5F7E529D"/>
    <w:rsid w:val="61A5346A"/>
    <w:rsid w:val="621A6DD3"/>
    <w:rsid w:val="626C3AD2"/>
    <w:rsid w:val="63091321"/>
    <w:rsid w:val="63351CAA"/>
    <w:rsid w:val="63352116"/>
    <w:rsid w:val="635C3B47"/>
    <w:rsid w:val="63AB0049"/>
    <w:rsid w:val="643248A8"/>
    <w:rsid w:val="65282BB9"/>
    <w:rsid w:val="653F6617"/>
    <w:rsid w:val="66805D9E"/>
    <w:rsid w:val="67535261"/>
    <w:rsid w:val="6891032A"/>
    <w:rsid w:val="69CC12FA"/>
    <w:rsid w:val="6A696B49"/>
    <w:rsid w:val="6A8A5777"/>
    <w:rsid w:val="6ACD532A"/>
    <w:rsid w:val="6BB37AA8"/>
    <w:rsid w:val="6E5527DD"/>
    <w:rsid w:val="6F0D74ED"/>
    <w:rsid w:val="6FE23626"/>
    <w:rsid w:val="70476B35"/>
    <w:rsid w:val="70F133F4"/>
    <w:rsid w:val="71196035"/>
    <w:rsid w:val="712B55F1"/>
    <w:rsid w:val="71E93BBC"/>
    <w:rsid w:val="721B697B"/>
    <w:rsid w:val="728704B4"/>
    <w:rsid w:val="72C9287B"/>
    <w:rsid w:val="769E5B68"/>
    <w:rsid w:val="772D7A86"/>
    <w:rsid w:val="7769462C"/>
    <w:rsid w:val="78187326"/>
    <w:rsid w:val="79E461EC"/>
    <w:rsid w:val="7C52743D"/>
    <w:rsid w:val="7C833A9B"/>
    <w:rsid w:val="7DA243F4"/>
    <w:rsid w:val="7F315A30"/>
    <w:rsid w:val="7F7E3E7E"/>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6</Pages>
  <Words>1297</Words>
  <Characters>1394</Characters>
  <Lines>0</Lines>
  <Paragraphs>0</Paragraphs>
  <TotalTime>0</TotalTime>
  <ScaleCrop>false</ScaleCrop>
  <LinksUpToDate>false</LinksUpToDate>
  <CharactersWithSpaces>1419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2022-03-23T09:04:00Z</cp:lastPrinted>
  <dcterms:modified xsi:type="dcterms:W3CDTF">2024-07-18T06:47:52Z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19B7FEA1D66B4AED8C923636A82E222C</vt:lpwstr>
  </property>
</Properties>
</file>