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sz w:val="32"/>
          <w:szCs w:val="32"/>
          <w:lang w:val="en-US" w:eastAsia="zh-CN"/>
        </w:rPr>
      </w:pPr>
    </w:p>
    <w:p>
      <w:pPr>
        <w:jc w:val="center"/>
        <w:rPr>
          <w:rFonts w:hint="eastAsia" w:ascii="方正小标宋简体" w:hAnsi="方正小标宋简体" w:eastAsia="方正小标宋简体" w:cs="方正小标宋简体"/>
          <w:b w:val="0"/>
          <w:bCs/>
          <w:sz w:val="44"/>
          <w:szCs w:val="22"/>
        </w:rPr>
      </w:pPr>
      <w:r>
        <w:rPr>
          <w:rFonts w:hint="eastAsia" w:ascii="方正小标宋简体" w:hAnsi="方正小标宋简体" w:eastAsia="方正小标宋简体" w:cs="方正小标宋简体"/>
          <w:b w:val="0"/>
          <w:bCs/>
          <w:sz w:val="44"/>
          <w:szCs w:val="22"/>
          <w:lang w:eastAsia="zh-CN"/>
        </w:rPr>
        <w:t>关于下达</w:t>
      </w:r>
      <w:r>
        <w:rPr>
          <w:rFonts w:hint="eastAsia" w:ascii="方正小标宋简体" w:hAnsi="方正小标宋简体" w:eastAsia="方正小标宋简体" w:cs="方正小标宋简体"/>
          <w:b w:val="0"/>
          <w:bCs/>
          <w:sz w:val="44"/>
          <w:szCs w:val="22"/>
        </w:rPr>
        <w:t>2023年新型集体经济发展建</w:t>
      </w:r>
    </w:p>
    <w:p>
      <w:pPr>
        <w:jc w:val="center"/>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b w:val="0"/>
          <w:bCs/>
          <w:sz w:val="44"/>
          <w:szCs w:val="22"/>
        </w:rPr>
        <w:t>设项目</w:t>
      </w:r>
      <w:r>
        <w:rPr>
          <w:rFonts w:hint="eastAsia" w:ascii="方正小标宋简体" w:hAnsi="方正小标宋简体" w:eastAsia="方正小标宋简体" w:cs="方正小标宋简体"/>
          <w:b w:val="0"/>
          <w:bCs/>
          <w:sz w:val="44"/>
          <w:szCs w:val="22"/>
          <w:lang w:eastAsia="zh-CN"/>
        </w:rPr>
        <w:t>资金的通知</w:t>
      </w:r>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德财农〔2023〕145号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德钦县农业农村局、拖顶乡人民政府</w:t>
      </w:r>
      <w:r>
        <w:rPr>
          <w:rFonts w:hint="eastAsia" w:ascii="仿宋_GB2312" w:hAnsi="仿宋_GB2312" w:eastAsia="仿宋_GB2312" w:cs="仿宋_GB2312"/>
          <w:sz w:val="32"/>
          <w:szCs w:val="32"/>
        </w:rPr>
        <w:t>：</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firstLine="640" w:firstLineChars="200"/>
        <w:jc w:val="both"/>
        <w:textAlignment w:val="auto"/>
        <w:rPr>
          <w:rFonts w:hint="eastAsia" w:ascii="仿宋_GB2312" w:hAnsi="仿宋_GB2312" w:eastAsia="仿宋_GB2312" w:cs="仿宋_GB2312"/>
          <w:sz w:val="32"/>
          <w:szCs w:val="32"/>
          <w:lang w:eastAsia="zh-CN"/>
        </w:rPr>
      </w:pPr>
      <w:r>
        <w:rPr>
          <w:rStyle w:val="10"/>
          <w:rFonts w:hint="eastAsia" w:ascii="Times New Roman" w:hAnsi="Times New Roman" w:eastAsia="仿宋_GB2312"/>
          <w:b w:val="0"/>
          <w:i w:val="0"/>
          <w:caps w:val="0"/>
          <w:color w:val="auto"/>
          <w:spacing w:val="0"/>
          <w:w w:val="100"/>
          <w:kern w:val="2"/>
          <w:sz w:val="32"/>
          <w:szCs w:val="32"/>
          <w:lang w:val="en-US" w:eastAsia="zh-CN" w:bidi="ar-SA"/>
        </w:rPr>
        <w:t>经</w:t>
      </w:r>
      <w:r>
        <w:rPr>
          <w:rFonts w:hint="eastAsia" w:ascii="仿宋_GB2312" w:hAnsi="仿宋_GB2312" w:eastAsia="仿宋_GB2312" w:cs="仿宋_GB2312"/>
          <w:sz w:val="32"/>
          <w:lang w:eastAsia="zh-CN"/>
        </w:rPr>
        <w:t>县</w:t>
      </w:r>
      <w:r>
        <w:rPr>
          <w:rFonts w:hint="eastAsia" w:ascii="仿宋_GB2312" w:hAnsi="仿宋_GB2312" w:eastAsia="仿宋_GB2312" w:cs="仿宋_GB2312"/>
          <w:sz w:val="32"/>
          <w:lang w:val="en-US" w:eastAsia="zh-CN"/>
        </w:rPr>
        <w:t>十五届人民政府第22次常务会议研究同意，</w:t>
      </w:r>
      <w:r>
        <w:rPr>
          <w:rFonts w:hint="eastAsia" w:ascii="仿宋_GB2312" w:hAnsi="仿宋_GB2312" w:eastAsia="仿宋_GB2312" w:cs="仿宋_GB2312"/>
          <w:sz w:val="32"/>
          <w:lang w:eastAsia="zh-CN"/>
        </w:rPr>
        <w:t>现</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lang w:val="en-US" w:eastAsia="zh-CN"/>
        </w:rPr>
        <w:t>2023年第二批</w:t>
      </w:r>
      <w:r>
        <w:rPr>
          <w:rFonts w:hint="eastAsia" w:ascii="仿宋_GB2312" w:hAnsi="仿宋_GB2312" w:eastAsia="仿宋_GB2312" w:cs="仿宋_GB2312"/>
          <w:sz w:val="32"/>
          <w:lang w:val="en-US" w:eastAsia="zh-CN"/>
        </w:rPr>
        <w:t>中央财政衔接推进乡村振兴补助资金(迪财农</w:t>
      </w:r>
      <w:r>
        <w:rPr>
          <w:rFonts w:hint="eastAsia" w:ascii="仿宋_GB2312" w:hAnsi="仿宋_GB2312" w:eastAsia="仿宋_GB2312" w:cs="仿宋_GB2312"/>
          <w:sz w:val="32"/>
          <w:szCs w:val="32"/>
          <w:lang w:val="en-US" w:eastAsia="zh-CN"/>
        </w:rPr>
        <w:t>〔2023〕42号</w:t>
      </w:r>
      <w:r>
        <w:rPr>
          <w:rFonts w:hint="eastAsia" w:ascii="仿宋_GB2312" w:hAnsi="仿宋_GB2312" w:eastAsia="仿宋_GB2312" w:cs="仿宋_GB2312"/>
          <w:sz w:val="32"/>
          <w:lang w:val="en-US" w:eastAsia="zh-CN"/>
        </w:rPr>
        <w:t>)210万元</w:t>
      </w:r>
      <w:r>
        <w:rPr>
          <w:rFonts w:hint="eastAsia" w:ascii="仿宋_GB2312" w:hAnsi="仿宋_GB2312" w:eastAsia="仿宋_GB2312" w:cs="仿宋_GB2312"/>
          <w:sz w:val="32"/>
          <w:szCs w:val="32"/>
          <w:lang w:val="en-US" w:eastAsia="zh-CN"/>
        </w:rPr>
        <w:t>下达给你单位，专项用于2023年新型集体经济发展建设项目。此款</w:t>
      </w:r>
      <w:r>
        <w:rPr>
          <w:rFonts w:hint="eastAsia" w:ascii="仿宋_GB2312" w:hAnsi="仿宋_GB2312" w:eastAsia="仿宋_GB2312" w:cs="仿宋_GB2312"/>
          <w:sz w:val="32"/>
          <w:szCs w:val="32"/>
        </w:rPr>
        <w:t>请列入20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2130505—生产发展</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算支出科目。现有关事项通知如下：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（一）管好用好衔接资金。</w:t>
      </w:r>
      <w:r>
        <w:rPr>
          <w:rFonts w:hint="eastAsia" w:ascii="仿宋_GB2312" w:hAnsi="仿宋_GB2312" w:eastAsia="仿宋_GB2312" w:cs="仿宋_GB2312"/>
          <w:sz w:val="32"/>
          <w:szCs w:val="32"/>
          <w:lang w:val="en-US" w:eastAsia="zh-CN"/>
        </w:rPr>
        <w:t>认真贯彻落实党中央、国务院和省、州、县党委政府关于巩固拓展脱贫攻坚成果同乡村振兴有效衔接的决策部署，严格按照</w:t>
      </w:r>
      <w:r>
        <w:rPr>
          <w:rFonts w:hint="eastAsia" w:ascii="仿宋_GB2312" w:hAnsi="仿宋_GB2312" w:eastAsia="仿宋_GB2312" w:cs="仿宋_GB2312"/>
          <w:color w:val="auto"/>
          <w:sz w:val="32"/>
          <w:szCs w:val="32"/>
          <w:highlight w:val="none"/>
          <w:lang w:val="en-US" w:eastAsia="zh-CN"/>
        </w:rPr>
        <w:t>财政部等6部委《中央财政衔接推进乡村振兴补助资金管理办法》（财农［2021]19号）、《关于加强中央财政衔接推进乡村振兴补助资金使用管理的指导意见》（财农〔2022〕14号）</w:t>
      </w:r>
      <w:r>
        <w:rPr>
          <w:rFonts w:hint="eastAsia" w:ascii="仿宋_GB2312" w:hAnsi="仿宋_GB2312" w:eastAsia="仿宋_GB2312" w:cs="仿宋_GB2312"/>
          <w:b w:val="0"/>
          <w:bCs w:val="0"/>
          <w:color w:val="auto"/>
          <w:sz w:val="32"/>
          <w:szCs w:val="32"/>
          <w:highlight w:val="none"/>
          <w:lang w:val="en-US" w:eastAsia="zh-CN"/>
        </w:rPr>
        <w:t>规定管理使用资金，资金不得用于单位基本支出等与巩固拓展脱贫攻坚同乡村振兴无关的支出；用于项目前期设计、评审、招标、监理以及验收等与项目管理相关的项目管理费不得超过1%的比例。</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（二）及时挂接项目。</w:t>
      </w:r>
      <w:r>
        <w:rPr>
          <w:rFonts w:hint="eastAsia" w:ascii="仿宋_GB2312" w:hAnsi="仿宋_GB2312" w:eastAsia="仿宋_GB2312" w:cs="仿宋_GB2312"/>
          <w:b w:val="0"/>
          <w:bCs w:val="0"/>
          <w:sz w:val="32"/>
          <w:szCs w:val="32"/>
          <w:lang w:val="en-US" w:eastAsia="zh-CN"/>
        </w:rPr>
        <w:t>严格按照《云南财政·预算管理一体化服务平台》的相关要求，在8月15日前完成项目挂接，如果不及时挂接项目，导致资金系统下达时限超过上级要求或未达到绩效目标要求的，后果由资金使用单位承担。县财政局将县级资金文件下发时间视同为资金下达时间，并根据下文日期做好资金台账管理工作。</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 w:hAnsi="楷体" w:eastAsia="楷体" w:cs="楷体"/>
          <w:b/>
          <w:bCs/>
          <w:sz w:val="32"/>
          <w:szCs w:val="32"/>
          <w:lang w:val="en-US" w:eastAsia="zh-CN"/>
        </w:rPr>
        <w:t>（三）加快资金支出进度</w:t>
      </w:r>
      <w:r>
        <w:rPr>
          <w:rFonts w:hint="eastAsia" w:ascii="仿宋_GB2312" w:hAnsi="仿宋_GB2312" w:eastAsia="仿宋_GB2312" w:cs="仿宋_GB2312"/>
          <w:b w:val="0"/>
          <w:bCs w:val="0"/>
          <w:sz w:val="32"/>
          <w:szCs w:val="32"/>
          <w:lang w:val="en-US" w:eastAsia="zh-CN"/>
        </w:rPr>
        <w:t>。资金使用单位要提前做好项目储备，开展项目前期，加快项目实施进度，确保按序时要求完成资金支出，严格按国库集中支付要求拨付资金，杜绝出现“以拨代支”。</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方正仿宋简体" w:eastAsia="仿宋_GB2312" w:cs="方正仿宋简体"/>
          <w:sz w:val="32"/>
          <w:szCs w:val="32"/>
          <w:lang w:val="en-US" w:eastAsia="zh-CN" w:bidi="ar-SA"/>
        </w:rPr>
      </w:pPr>
      <w:r>
        <w:rPr>
          <w:rFonts w:hint="eastAsia" w:ascii="楷体" w:hAnsi="楷体" w:eastAsia="楷体" w:cs="楷体"/>
          <w:b/>
          <w:bCs/>
          <w:sz w:val="32"/>
          <w:szCs w:val="32"/>
          <w:lang w:val="en-US" w:eastAsia="zh-CN"/>
        </w:rPr>
        <w:t>（四）落实全面绩效管理。</w:t>
      </w:r>
      <w:r>
        <w:rPr>
          <w:rFonts w:hint="eastAsia" w:ascii="仿宋_GB2312" w:hAnsi="仿宋_GB2312" w:eastAsia="仿宋_GB2312" w:cs="仿宋_GB2312"/>
          <w:b w:val="0"/>
          <w:bCs w:val="0"/>
          <w:sz w:val="32"/>
          <w:szCs w:val="32"/>
          <w:lang w:val="en-US" w:eastAsia="zh-CN"/>
        </w:rPr>
        <w:t>项目</w:t>
      </w:r>
      <w:r>
        <w:rPr>
          <w:rFonts w:hint="eastAsia" w:ascii="仿宋_GB2312" w:hAnsi="方正仿宋简体" w:eastAsia="仿宋_GB2312" w:cs="方正仿宋简体"/>
          <w:sz w:val="32"/>
          <w:szCs w:val="32"/>
          <w:lang w:val="en-US" w:eastAsia="zh-CN" w:bidi="ar-SA"/>
        </w:rPr>
        <w:t>绩效目标与资金文件一同下发，资金使用单位务必要严格按照项目绩效目标管理资金，若出现偏离目标或调整绩效内容情况，严格按程序报财政、乡村振兴等部门进行相应调整。</w:t>
      </w:r>
    </w:p>
    <w:p>
      <w:pPr>
        <w:keepNext w:val="0"/>
        <w:keepLines w:val="0"/>
        <w:pageBreakBefore w:val="0"/>
        <w:widowControl w:val="0"/>
        <w:numPr>
          <w:ilvl w:val="0"/>
          <w:numId w:val="0"/>
        </w:numPr>
        <w:tabs>
          <w:tab w:val="left" w:pos="720"/>
          <w:tab w:val="left" w:pos="5895"/>
        </w:tabs>
        <w:kinsoku/>
        <w:wordWrap/>
        <w:overflowPunct/>
        <w:topLinePunct w:val="0"/>
        <w:autoSpaceDE/>
        <w:autoSpaceDN/>
        <w:bidi w:val="0"/>
        <w:adjustRightInd/>
        <w:snapToGrid/>
        <w:spacing w:line="240" w:lineRule="auto"/>
        <w:ind w:firstLine="643" w:firstLineChars="200"/>
        <w:jc w:val="both"/>
        <w:textAlignment w:val="auto"/>
        <w:rPr>
          <w:rFonts w:hint="eastAsia" w:ascii="仿宋_GB2312" w:hAnsi="仿宋_GB2312" w:eastAsia="仿宋_GB2312" w:cs="仿宋_GB2312"/>
          <w:b w:val="0"/>
          <w:i w:val="0"/>
          <w:caps w:val="0"/>
          <w:color w:val="333333"/>
          <w:spacing w:val="0"/>
          <w:sz w:val="32"/>
          <w:szCs w:val="32"/>
          <w:shd w:val="clear" w:fill="FFFFFF"/>
          <w:lang w:val="en-US" w:eastAsia="zh-CN"/>
        </w:rPr>
      </w:pPr>
      <w:r>
        <w:rPr>
          <w:rFonts w:hint="eastAsia" w:ascii="楷体" w:hAnsi="楷体" w:eastAsia="楷体" w:cs="楷体"/>
          <w:b/>
          <w:bCs/>
          <w:sz w:val="32"/>
          <w:szCs w:val="32"/>
          <w:lang w:val="en-US" w:eastAsia="zh-CN"/>
        </w:rPr>
        <w:t>（五）加强资产后续管理。</w:t>
      </w:r>
      <w:r>
        <w:rPr>
          <w:rFonts w:hint="eastAsia" w:ascii="仿宋_GB2312" w:hAnsi="方正仿宋简体" w:eastAsia="仿宋_GB2312" w:cs="方正仿宋简体"/>
          <w:sz w:val="32"/>
          <w:szCs w:val="32"/>
          <w:lang w:val="en-US" w:eastAsia="zh-CN" w:bidi="ar-SA"/>
        </w:rPr>
        <w:t>衔接资金项目形成的资产要严格按照相关规定进行资产确权、移交等后续管理工作，避免国有资产闲置浪费。</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left="1598" w:leftChars="304" w:right="480" w:hanging="960" w:hangingChars="3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附件：1.德钦县2023年第二批统筹整合财政涉农资金项目规划表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ind w:left="1600" w:right="480" w:hanging="1600" w:hanging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2.德钦县2023年第二批统筹整合财政涉农资金项目绩效目标申报表</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（此件公开）</w:t>
      </w: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tabs>
          <w:tab w:val="left" w:pos="720"/>
          <w:tab w:val="left" w:pos="5895"/>
        </w:tabs>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sz w:val="32"/>
          <w:szCs w:val="32"/>
          <w:lang w:eastAsia="zh-CN"/>
        </w:rPr>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4"/>
          <w:szCs w:val="24"/>
          <w:lang w:val="en-US" w:eastAsia="zh-CN"/>
        </w:rPr>
      </w:pPr>
      <w:bookmarkStart w:id="0" w:name="_GoBack"/>
      <w:bookmarkEnd w:id="0"/>
      <w:r>
        <w:rPr>
          <w:rFonts w:hint="eastAsia" w:ascii="仿宋_GB2312" w:hAnsi="仿宋_GB2312" w:eastAsia="仿宋_GB2312" w:cs="仿宋_GB2312"/>
          <w:sz w:val="24"/>
          <w:szCs w:val="24"/>
          <w:lang w:eastAsia="zh-CN"/>
        </w:rPr>
        <w:t>附件</w:t>
      </w:r>
      <w:r>
        <w:rPr>
          <w:rFonts w:hint="eastAsia" w:ascii="仿宋_GB2312" w:hAnsi="仿宋_GB2312" w:eastAsia="仿宋_GB2312" w:cs="仿宋_GB2312"/>
          <w:sz w:val="24"/>
          <w:szCs w:val="24"/>
          <w:lang w:val="en-US" w:eastAsia="zh-CN"/>
        </w:rPr>
        <w:t>1</w:t>
      </w:r>
    </w:p>
    <w:p>
      <w:pPr>
        <w:rPr>
          <w:rFonts w:hint="eastAsia" w:ascii="仿宋_GB2312" w:hAnsi="仿宋_GB2312" w:eastAsia="仿宋_GB2312" w:cs="仿宋_GB2312"/>
          <w:sz w:val="20"/>
          <w:szCs w:val="20"/>
          <w:lang w:val="en-US" w:eastAsia="zh-CN"/>
        </w:rPr>
      </w:pPr>
    </w:p>
    <w:tbl>
      <w:tblPr>
        <w:tblStyle w:val="7"/>
        <w:tblW w:w="14400" w:type="dxa"/>
        <w:tblInd w:w="-325" w:type="dxa"/>
        <w:tblLayout w:type="fixed"/>
        <w:tblCellMar>
          <w:top w:w="0" w:type="dxa"/>
          <w:left w:w="0" w:type="dxa"/>
          <w:bottom w:w="0" w:type="dxa"/>
          <w:right w:w="0" w:type="dxa"/>
        </w:tblCellMar>
      </w:tblPr>
      <w:tblGrid>
        <w:gridCol w:w="620"/>
        <w:gridCol w:w="815"/>
        <w:gridCol w:w="904"/>
        <w:gridCol w:w="926"/>
        <w:gridCol w:w="1204"/>
        <w:gridCol w:w="2596"/>
        <w:gridCol w:w="1668"/>
        <w:gridCol w:w="1451"/>
        <w:gridCol w:w="3472"/>
        <w:gridCol w:w="744"/>
      </w:tblGrid>
      <w:tr>
        <w:tblPrEx>
          <w:tblCellMar>
            <w:top w:w="0" w:type="dxa"/>
            <w:left w:w="0" w:type="dxa"/>
            <w:bottom w:w="0" w:type="dxa"/>
            <w:right w:w="0" w:type="dxa"/>
          </w:tblCellMar>
        </w:tblPrEx>
        <w:trPr>
          <w:trHeight w:val="90" w:hRule="atLeast"/>
        </w:trPr>
        <w:tc>
          <w:tcPr>
            <w:tcW w:w="14400" w:type="dxa"/>
            <w:gridSpan w:val="10"/>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28"/>
                <w:szCs w:val="28"/>
                <w:u w:val="none"/>
              </w:rPr>
            </w:pPr>
            <w:r>
              <w:rPr>
                <w:rFonts w:hint="eastAsia" w:ascii="仿宋_GB2312" w:hAnsi="仿宋_GB2312" w:eastAsia="仿宋_GB2312" w:cs="仿宋_GB2312"/>
                <w:b/>
                <w:bCs w:val="0"/>
                <w:i w:val="0"/>
                <w:color w:val="000000"/>
                <w:kern w:val="0"/>
                <w:sz w:val="44"/>
                <w:szCs w:val="44"/>
                <w:u w:val="none"/>
                <w:lang w:val="en-US" w:eastAsia="zh-CN" w:bidi="ar"/>
              </w:rPr>
              <w:t>德钦县2023年第二批统筹整合财政涉农资金项目规划表</w:t>
            </w:r>
          </w:p>
        </w:tc>
      </w:tr>
      <w:tr>
        <w:tblPrEx>
          <w:tblCellMar>
            <w:top w:w="0" w:type="dxa"/>
            <w:left w:w="0" w:type="dxa"/>
            <w:bottom w:w="0" w:type="dxa"/>
            <w:right w:w="0" w:type="dxa"/>
          </w:tblCellMar>
        </w:tblPrEx>
        <w:trPr>
          <w:trHeight w:val="90" w:hRule="atLeast"/>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序号</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项目主管单位</w:t>
            </w: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项目实施单位</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资金下拨单位</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项目名称</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建设内容及规模</w:t>
            </w:r>
          </w:p>
        </w:tc>
        <w:tc>
          <w:tcPr>
            <w:tcW w:w="1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总投入资金（万元）</w:t>
            </w:r>
          </w:p>
        </w:tc>
        <w:tc>
          <w:tcPr>
            <w:tcW w:w="1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kern w:val="0"/>
                <w:sz w:val="32"/>
                <w:szCs w:val="32"/>
                <w:u w:val="none"/>
                <w:lang w:val="en-US" w:eastAsia="zh-CN" w:bidi="ar"/>
              </w:rPr>
            </w:pPr>
            <w:r>
              <w:rPr>
                <w:rFonts w:hint="eastAsia" w:ascii="仿宋_GB2312" w:hAnsi="仿宋_GB2312" w:eastAsia="仿宋_GB2312" w:cs="仿宋_GB2312"/>
                <w:b w:val="0"/>
                <w:bCs/>
                <w:i w:val="0"/>
                <w:color w:val="000000"/>
                <w:kern w:val="0"/>
                <w:sz w:val="32"/>
                <w:szCs w:val="32"/>
                <w:u w:val="none"/>
                <w:lang w:val="en-US" w:eastAsia="zh-CN" w:bidi="ar"/>
              </w:rPr>
              <w:t>本次投入资金</w:t>
            </w:r>
          </w:p>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（万元）</w:t>
            </w:r>
          </w:p>
        </w:tc>
        <w:tc>
          <w:tcPr>
            <w:tcW w:w="3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绩效目标</w:t>
            </w:r>
          </w:p>
        </w:tc>
        <w:tc>
          <w:tcPr>
            <w:tcW w:w="7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val="0"/>
                <w:bCs/>
                <w:i w:val="0"/>
                <w:color w:val="000000"/>
                <w:sz w:val="32"/>
                <w:szCs w:val="32"/>
                <w:u w:val="none"/>
              </w:rPr>
            </w:pPr>
            <w:r>
              <w:rPr>
                <w:rFonts w:hint="eastAsia" w:ascii="仿宋_GB2312" w:hAnsi="仿宋_GB2312" w:eastAsia="仿宋_GB2312" w:cs="仿宋_GB2312"/>
                <w:b w:val="0"/>
                <w:bCs/>
                <w:i w:val="0"/>
                <w:color w:val="000000"/>
                <w:kern w:val="0"/>
                <w:sz w:val="32"/>
                <w:szCs w:val="32"/>
                <w:u w:val="none"/>
                <w:lang w:val="en-US" w:eastAsia="zh-CN" w:bidi="ar"/>
              </w:rPr>
              <w:t>备注</w:t>
            </w:r>
          </w:p>
        </w:tc>
      </w:tr>
      <w:tr>
        <w:tblPrEx>
          <w:tblCellMar>
            <w:top w:w="0" w:type="dxa"/>
            <w:left w:w="0" w:type="dxa"/>
            <w:bottom w:w="0" w:type="dxa"/>
            <w:right w:w="0" w:type="dxa"/>
          </w:tblCellMar>
        </w:tblPrEx>
        <w:trPr>
          <w:trHeight w:val="90" w:hRule="atLeast"/>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1</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县委组织部</w:t>
            </w: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拖顶乡德吉村</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拖顶乡</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拖顶乡德吉村土鸡养殖场建设项目</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numPr>
                <w:ilvl w:val="0"/>
                <w:numId w:val="1"/>
              </w:numPr>
              <w:suppressLineNumbers w:val="0"/>
              <w:jc w:val="left"/>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建设温脱房、育雏舍15间，约50</w:t>
            </w:r>
            <w:r>
              <w:rPr>
                <w:rFonts w:hint="eastAsia" w:ascii="宋体" w:hAnsi="宋体" w:eastAsia="宋体" w:cs="宋体"/>
                <w:sz w:val="24"/>
                <w:szCs w:val="24"/>
                <w:lang w:val="en-US" w:eastAsia="zh-CN"/>
              </w:rPr>
              <w:t>㎡</w:t>
            </w:r>
            <w:r>
              <w:rPr>
                <w:rFonts w:hint="eastAsia" w:ascii="仿宋" w:hAnsi="仿宋" w:eastAsia="仿宋" w:cs="仿宋"/>
                <w:sz w:val="24"/>
                <w:szCs w:val="24"/>
                <w:lang w:val="en-US" w:eastAsia="zh-CN"/>
              </w:rPr>
              <w:t xml:space="preserve">（包含育雏笼及供暖设备） </w:t>
            </w:r>
          </w:p>
          <w:p>
            <w:pPr>
              <w:keepNext w:val="0"/>
              <w:keepLines w:val="0"/>
              <w:widowControl/>
              <w:numPr>
                <w:ilvl w:val="0"/>
                <w:numId w:val="1"/>
              </w:numPr>
              <w:suppressLineNumbers w:val="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建设孵化室、饲料粗加工厂房3间，约50㎡；建设鸡场围栏及购置相关机器等设备</w:t>
            </w:r>
          </w:p>
        </w:tc>
        <w:tc>
          <w:tcPr>
            <w:tcW w:w="1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1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70</w:t>
            </w:r>
          </w:p>
        </w:tc>
        <w:tc>
          <w:tcPr>
            <w:tcW w:w="3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通过项目建设，覆盖德吉村161户679人，其中，脱贫户43户159人受益。项目实施后，能解决德吉村土鸡养殖不成规模、出栏率低和市场需求和供给不平衡等问题，为农村产业持续发展、农民持续增收创造有利条件。</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r>
        <w:tblPrEx>
          <w:tblCellMar>
            <w:top w:w="0" w:type="dxa"/>
            <w:left w:w="0" w:type="dxa"/>
            <w:bottom w:w="0" w:type="dxa"/>
            <w:right w:w="0" w:type="dxa"/>
          </w:tblCellMar>
        </w:tblPrEx>
        <w:trPr>
          <w:trHeight w:val="90" w:hRule="atLeast"/>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2</w:t>
            </w:r>
          </w:p>
        </w:tc>
        <w:tc>
          <w:tcPr>
            <w:tcW w:w="8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县委组织部</w:t>
            </w:r>
          </w:p>
        </w:tc>
        <w:tc>
          <w:tcPr>
            <w:tcW w:w="9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德钦县农业农村局</w:t>
            </w:r>
          </w:p>
        </w:tc>
        <w:tc>
          <w:tcPr>
            <w:tcW w:w="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德钦县农业农村局</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奔子栏镇夺通村、叶央村生猪养殖建设项目</w:t>
            </w:r>
          </w:p>
        </w:tc>
        <w:tc>
          <w:tcPr>
            <w:tcW w:w="2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建设养猪场生产用房（育肥厂房），约541㎡，含基础、场地硬化、墙面、隔断及其他水电配套设施。</w:t>
            </w:r>
          </w:p>
        </w:tc>
        <w:tc>
          <w:tcPr>
            <w:tcW w:w="16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140</w:t>
            </w:r>
          </w:p>
        </w:tc>
        <w:tc>
          <w:tcPr>
            <w:tcW w:w="14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140</w:t>
            </w:r>
          </w:p>
        </w:tc>
        <w:tc>
          <w:tcPr>
            <w:tcW w:w="3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通过项目建设，覆盖夺通村330户1433人受益。项目实施后，能有效完善夺通村联农带农机制，既为农户提供就近务工机会，又带动农户参与生猪养殖，激发村民内生动力，拓宽农户增收渠道。</w:t>
            </w:r>
          </w:p>
        </w:tc>
        <w:tc>
          <w:tcPr>
            <w:tcW w:w="74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仿宋_GB2312" w:hAnsi="仿宋_GB2312" w:eastAsia="仿宋_GB2312" w:cs="仿宋_GB2312"/>
                <w:i w:val="0"/>
                <w:color w:val="000000"/>
                <w:sz w:val="16"/>
                <w:szCs w:val="16"/>
                <w:u w:val="none"/>
              </w:rPr>
            </w:pPr>
          </w:p>
        </w:tc>
      </w:tr>
    </w:tbl>
    <w:p>
      <w:pPr>
        <w:jc w:val="both"/>
        <w:rPr>
          <w:rFonts w:hint="default" w:ascii="仿宋_GB2312" w:hAnsi="仿宋_GB2312" w:eastAsia="仿宋_GB2312" w:cs="仿宋_GB2312"/>
          <w:b/>
          <w:bCs/>
          <w:sz w:val="32"/>
          <w:szCs w:val="32"/>
          <w:lang w:val="en-US" w:eastAsia="zh-CN"/>
        </w:rPr>
        <w:sectPr>
          <w:headerReference r:id="rId6" w:type="default"/>
          <w:footerReference r:id="rId7" w:type="default"/>
          <w:pgSz w:w="16838" w:h="11906" w:orient="landscape"/>
          <w:pgMar w:top="1800" w:right="1440" w:bottom="1800" w:left="1440" w:header="851" w:footer="992" w:gutter="0"/>
          <w:pgNumType w:fmt="decimal" w:start="4"/>
          <w:cols w:space="720" w:num="1"/>
          <w:docGrid w:type="lines" w:linePitch="312" w:charSpace="0"/>
        </w:sectPr>
      </w:pPr>
    </w:p>
    <w:p/>
    <w:tbl>
      <w:tblPr>
        <w:tblStyle w:val="7"/>
        <w:tblW w:w="8293" w:type="dxa"/>
        <w:tblInd w:w="0" w:type="dxa"/>
        <w:tblLayout w:type="fixed"/>
        <w:tblCellMar>
          <w:top w:w="0" w:type="dxa"/>
          <w:left w:w="0" w:type="dxa"/>
          <w:bottom w:w="0" w:type="dxa"/>
          <w:right w:w="0" w:type="dxa"/>
        </w:tblCellMar>
      </w:tblPr>
      <w:tblGrid>
        <w:gridCol w:w="735"/>
        <w:gridCol w:w="735"/>
        <w:gridCol w:w="553"/>
        <w:gridCol w:w="1510"/>
        <w:gridCol w:w="650"/>
        <w:gridCol w:w="1653"/>
        <w:gridCol w:w="597"/>
        <w:gridCol w:w="240"/>
        <w:gridCol w:w="1620"/>
      </w:tblGrid>
      <w:tr>
        <w:tblPrEx>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szCs w:val="24"/>
              </w:rPr>
            </w:pPr>
            <w:r>
              <w:rPr>
                <w:rFonts w:hint="eastAsia" w:ascii="仿宋_GB2312" w:hAnsi="仿宋_GB2312" w:eastAsia="仿宋_GB2312" w:cs="仿宋_GB2312"/>
                <w:color w:val="000000"/>
                <w:kern w:val="0"/>
                <w:sz w:val="24"/>
                <w:szCs w:val="24"/>
              </w:rPr>
              <w:t>附件2</w:t>
            </w:r>
          </w:p>
        </w:tc>
        <w:tc>
          <w:tcPr>
            <w:tcW w:w="735"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51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65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653"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597"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24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c>
          <w:tcPr>
            <w:tcW w:w="1620" w:type="dxa"/>
            <w:tcBorders>
              <w:top w:val="nil"/>
              <w:left w:val="nil"/>
              <w:bottom w:val="nil"/>
              <w:right w:val="nil"/>
            </w:tcBorders>
            <w:tcMar>
              <w:top w:w="15" w:type="dxa"/>
              <w:left w:w="15" w:type="dxa"/>
              <w:right w:w="15" w:type="dxa"/>
            </w:tcMar>
            <w:vAlign w:val="center"/>
          </w:tcPr>
          <w:p>
            <w:pPr>
              <w:rPr>
                <w:rFonts w:ascii="仿宋_GB2312" w:hAnsi="仿宋_GB2312" w:eastAsia="仿宋_GB2312" w:cs="仿宋_GB2312"/>
                <w:color w:val="000000"/>
                <w:sz w:val="24"/>
                <w:szCs w:val="24"/>
              </w:rPr>
            </w:pPr>
          </w:p>
        </w:tc>
      </w:tr>
      <w:tr>
        <w:tblPrEx>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b/>
                <w:color w:val="000000"/>
                <w:sz w:val="32"/>
                <w:szCs w:val="32"/>
              </w:rPr>
            </w:pPr>
            <w:r>
              <w:rPr>
                <w:rFonts w:hint="eastAsia" w:ascii="宋体" w:hAnsi="宋体" w:cs="宋体"/>
                <w:b/>
                <w:color w:val="000000"/>
                <w:kern w:val="0"/>
                <w:sz w:val="28"/>
                <w:szCs w:val="28"/>
              </w:rPr>
              <w:t>德钦县2023年第</w:t>
            </w:r>
            <w:r>
              <w:rPr>
                <w:rFonts w:hint="eastAsia" w:ascii="宋体" w:hAnsi="宋体" w:cs="宋体"/>
                <w:b/>
                <w:color w:val="000000"/>
                <w:kern w:val="0"/>
                <w:sz w:val="28"/>
                <w:szCs w:val="28"/>
                <w:lang w:val="en-US" w:eastAsia="zh-CN"/>
              </w:rPr>
              <w:t>二</w:t>
            </w:r>
            <w:r>
              <w:rPr>
                <w:rFonts w:hint="eastAsia" w:ascii="宋体" w:hAnsi="宋体" w:cs="宋体"/>
                <w:b/>
                <w:color w:val="000000"/>
                <w:kern w:val="0"/>
                <w:sz w:val="28"/>
                <w:szCs w:val="28"/>
              </w:rPr>
              <w:t>批统筹整合财政涉农资金项目绩效目标申报表</w:t>
            </w:r>
          </w:p>
        </w:tc>
      </w:tr>
      <w:tr>
        <w:tblPrEx>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tcMar>
              <w:top w:w="15" w:type="dxa"/>
              <w:left w:w="15" w:type="dxa"/>
              <w:right w:w="15" w:type="dxa"/>
            </w:tcMar>
          </w:tcPr>
          <w:p>
            <w:pPr>
              <w:widowControl/>
              <w:jc w:val="center"/>
              <w:textAlignment w:val="top"/>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（2023年度）</w:t>
            </w:r>
          </w:p>
        </w:tc>
      </w:tr>
      <w:tr>
        <w:tblPrEx>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Times New Roman" w:hAnsi="Times New Roman" w:eastAsia="方正仿宋_GBK" w:cs="方正仿宋_GBK"/>
                <w:sz w:val="21"/>
                <w:szCs w:val="21"/>
                <w:highlight w:val="none"/>
                <w:lang w:eastAsia="zh-CN"/>
              </w:rPr>
              <w:t>奔子栏镇夺通村、叶央村生猪养殖建设项目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农布定主</w:t>
            </w:r>
            <w:r>
              <w:rPr>
                <w:rFonts w:hint="eastAsia" w:ascii="仿宋_GB2312" w:hAnsi="仿宋_GB2312" w:eastAsia="仿宋_GB2312" w:cs="仿宋_GB2312"/>
                <w:color w:val="000000"/>
                <w:szCs w:val="21"/>
              </w:rPr>
              <w:t>139887</w:t>
            </w:r>
            <w:r>
              <w:rPr>
                <w:rFonts w:hint="eastAsia" w:ascii="仿宋_GB2312" w:hAnsi="仿宋_GB2312" w:eastAsia="仿宋_GB2312" w:cs="仿宋_GB2312"/>
                <w:color w:val="000000"/>
                <w:szCs w:val="21"/>
                <w:lang w:val="en-US" w:eastAsia="zh-CN"/>
              </w:rPr>
              <w:t>94994</w:t>
            </w:r>
          </w:p>
        </w:tc>
      </w:tr>
      <w:tr>
        <w:tblPrEx>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德钦县农业农村局</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德钦县农业农村局</w:t>
            </w:r>
          </w:p>
        </w:tc>
      </w:tr>
      <w:tr>
        <w:tblPrEx>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资金情况</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140</w:t>
            </w:r>
          </w:p>
        </w:tc>
      </w:tr>
      <w:tr>
        <w:tblPrEx>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140</w:t>
            </w:r>
          </w:p>
        </w:tc>
      </w:tr>
      <w:tr>
        <w:tblPrEx>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0</w:t>
            </w:r>
          </w:p>
        </w:tc>
      </w:tr>
      <w:tr>
        <w:tblPrEx>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总</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体</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目</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年度目标</w:t>
            </w:r>
          </w:p>
        </w:tc>
      </w:tr>
      <w:tr>
        <w:tblPrEx>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default" w:ascii="仿宋_GB2312" w:hAnsi="仿宋_GB2312" w:eastAsia="仿宋_GB2312" w:cs="仿宋_GB2312"/>
                <w:color w:val="000000"/>
                <w:szCs w:val="21"/>
                <w:lang w:val="en-US" w:eastAsia="zh-CN"/>
              </w:rPr>
              <w:t>新建养猪场生产用房</w:t>
            </w:r>
            <w:r>
              <w:rPr>
                <w:rFonts w:hint="eastAsia" w:ascii="仿宋_GB2312" w:hAnsi="仿宋_GB2312" w:eastAsia="仿宋_GB2312" w:cs="仿宋_GB2312"/>
                <w:color w:val="000000"/>
                <w:szCs w:val="21"/>
                <w:lang w:val="en-US" w:eastAsia="zh-CN"/>
              </w:rPr>
              <w:t>（育肥厂房），计划建设541平方米（含基础、场地硬化、墙面、隔断及其他水电配套设施）</w:t>
            </w:r>
            <w:r>
              <w:rPr>
                <w:rFonts w:hint="default" w:ascii="仿宋_GB2312" w:hAnsi="仿宋_GB2312" w:eastAsia="仿宋_GB2312" w:cs="仿宋_GB2312"/>
                <w:color w:val="000000"/>
                <w:szCs w:val="21"/>
                <w:lang w:val="en-US" w:eastAsia="zh-CN"/>
              </w:rPr>
              <w:t>。</w:t>
            </w:r>
          </w:p>
        </w:tc>
      </w:tr>
      <w:tr>
        <w:tblPrEx>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绩</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效</w:t>
            </w:r>
          </w:p>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指</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指标值</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受益农户</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330</w:t>
            </w:r>
            <w:r>
              <w:rPr>
                <w:rFonts w:hint="eastAsia" w:ascii="仿宋_GB2312" w:hAnsi="仿宋_GB2312" w:eastAsia="仿宋_GB2312" w:cs="仿宋_GB2312"/>
                <w:color w:val="000000"/>
                <w:szCs w:val="21"/>
              </w:rPr>
              <w:t>户</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受益村组</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1个</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default" w:ascii="仿宋_GB2312" w:hAnsi="仿宋_GB2312" w:eastAsia="仿宋_GB2312" w:cs="仿宋_GB2312"/>
                <w:color w:val="000000"/>
                <w:szCs w:val="21"/>
                <w:lang w:val="en-US" w:eastAsia="zh-CN"/>
              </w:rPr>
              <w:t>新建养猪场生产用房</w:t>
            </w:r>
            <w:r>
              <w:rPr>
                <w:rFonts w:hint="eastAsia" w:ascii="仿宋_GB2312" w:hAnsi="仿宋_GB2312" w:eastAsia="仿宋_GB2312" w:cs="仿宋_GB2312"/>
                <w:color w:val="000000"/>
                <w:szCs w:val="21"/>
                <w:lang w:val="en-US" w:eastAsia="zh-CN"/>
              </w:rPr>
              <w:t>（育肥厂房）</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541平方米</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租金收益</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6万元</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开完工及时率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≥100%</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tabs>
                <w:tab w:val="left" w:pos="793"/>
              </w:tabs>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育肥厂房使用年限</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color w:val="000000"/>
                <w:szCs w:val="21"/>
                <w:lang w:val="en-US"/>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5年</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完工时间</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2023年12月20日</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项目投入资金</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lang w:val="en-US" w:eastAsia="zh-CN"/>
              </w:rPr>
              <w:t>140</w:t>
            </w:r>
            <w:r>
              <w:rPr>
                <w:rFonts w:hint="eastAsia" w:ascii="仿宋_GB2312" w:hAnsi="仿宋_GB2312" w:eastAsia="仿宋_GB2312" w:cs="仿宋_GB2312"/>
                <w:color w:val="000000"/>
                <w:szCs w:val="21"/>
              </w:rPr>
              <w:t>万元</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每平米投入</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2000</w:t>
            </w:r>
            <w:r>
              <w:rPr>
                <w:rFonts w:hint="eastAsia" w:ascii="仿宋_GB2312" w:hAnsi="仿宋_GB2312" w:eastAsia="仿宋_GB2312" w:cs="仿宋_GB2312"/>
                <w:color w:val="000000"/>
                <w:szCs w:val="21"/>
              </w:rPr>
              <w:t>元</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color w:val="000000"/>
                <w:szCs w:val="21"/>
                <w:lang w:eastAsia="zh-CN"/>
              </w:rPr>
            </w:pPr>
            <w:r>
              <w:rPr>
                <w:rFonts w:hint="eastAsia" w:ascii="仿宋_GB2312" w:hAnsi="仿宋_GB2312" w:eastAsia="仿宋_GB2312" w:cs="仿宋_GB2312"/>
                <w:color w:val="000000"/>
                <w:szCs w:val="21"/>
                <w:lang w:eastAsia="zh-CN"/>
              </w:rPr>
              <w:t>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社会效益</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带动</w:t>
            </w:r>
            <w:r>
              <w:rPr>
                <w:rFonts w:hint="eastAsia" w:ascii="仿宋_GB2312" w:hAnsi="仿宋_GB2312" w:eastAsia="仿宋_GB2312" w:cs="仿宋_GB2312"/>
                <w:color w:val="000000"/>
                <w:szCs w:val="21"/>
                <w:lang w:val="en-US" w:eastAsia="zh-CN"/>
              </w:rPr>
              <w:t>夺通小组</w:t>
            </w:r>
            <w:r>
              <w:rPr>
                <w:rFonts w:hint="eastAsia" w:ascii="仿宋_GB2312" w:hAnsi="仿宋_GB2312" w:eastAsia="仿宋_GB2312" w:cs="仿宋_GB2312"/>
                <w:color w:val="000000"/>
                <w:szCs w:val="21"/>
              </w:rPr>
              <w:t>农户增收</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800</w:t>
            </w:r>
            <w:r>
              <w:rPr>
                <w:rFonts w:hint="eastAsia" w:ascii="仿宋_GB2312" w:hAnsi="仿宋_GB2312" w:eastAsia="仿宋_GB2312" w:cs="仿宋_GB2312"/>
                <w:color w:val="000000"/>
                <w:szCs w:val="21"/>
              </w:rPr>
              <w:t>元</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务工机会</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增加</w:t>
            </w:r>
          </w:p>
        </w:tc>
      </w:tr>
      <w:tr>
        <w:tblPrEx>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可持续影响</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激发农户内生动力</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实现</w:t>
            </w: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r>
      <w:tr>
        <w:tblPrEx>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服务对象</w:t>
            </w:r>
          </w:p>
          <w:p>
            <w:pPr>
              <w:widowControl/>
              <w:jc w:val="center"/>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受益</w:t>
            </w:r>
            <w:r>
              <w:rPr>
                <w:rFonts w:hint="eastAsia" w:ascii="仿宋_GB2312" w:hAnsi="仿宋_GB2312" w:eastAsia="仿宋_GB2312" w:cs="仿宋_GB2312"/>
                <w:color w:val="000000"/>
                <w:szCs w:val="21"/>
                <w:lang w:val="en-US" w:eastAsia="zh-CN"/>
              </w:rPr>
              <w:t>农户</w:t>
            </w:r>
            <w:r>
              <w:rPr>
                <w:rFonts w:hint="eastAsia" w:ascii="仿宋_GB2312" w:hAnsi="仿宋_GB2312" w:eastAsia="仿宋_GB2312" w:cs="仿宋_GB2312"/>
                <w:color w:val="000000"/>
                <w:szCs w:val="21"/>
              </w:rPr>
              <w:t>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85</w:t>
            </w:r>
            <w:r>
              <w:rPr>
                <w:rFonts w:hint="eastAsia" w:ascii="仿宋_GB2312" w:hAnsi="仿宋_GB2312" w:eastAsia="仿宋_GB2312" w:cs="仿宋_GB2312"/>
                <w:color w:val="000000"/>
                <w:szCs w:val="21"/>
              </w:rPr>
              <w:t>%</w:t>
            </w:r>
          </w:p>
        </w:tc>
      </w:tr>
      <w:tr>
        <w:tblPrEx>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color w:val="000000"/>
                <w:szCs w:val="21"/>
                <w:lang w:val="en-US" w:eastAsia="zh-CN"/>
              </w:rPr>
            </w:pPr>
            <w:r>
              <w:rPr>
                <w:rFonts w:hint="eastAsia" w:ascii="仿宋_GB2312" w:hAnsi="仿宋_GB2312" w:eastAsia="仿宋_GB2312" w:cs="仿宋_GB2312"/>
                <w:color w:val="000000"/>
                <w:szCs w:val="21"/>
                <w:lang w:val="en-US" w:eastAsia="zh-CN"/>
              </w:rPr>
              <w:t>受益村组满意度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ascii="仿宋_GB2312" w:hAnsi="仿宋_GB2312" w:eastAsia="仿宋_GB2312" w:cs="仿宋_GB2312"/>
                <w:color w:val="000000"/>
                <w:szCs w:val="21"/>
              </w:rPr>
            </w:pPr>
            <w:r>
              <w:rPr>
                <w:rFonts w:hint="eastAsia" w:ascii="仿宋_GB2312" w:hAnsi="仿宋_GB2312" w:eastAsia="仿宋_GB2312" w:cs="仿宋_GB2312"/>
                <w:color w:val="000000"/>
                <w:szCs w:val="21"/>
              </w:rPr>
              <w:t>≥</w:t>
            </w:r>
            <w:r>
              <w:rPr>
                <w:rFonts w:hint="eastAsia" w:ascii="仿宋_GB2312" w:hAnsi="仿宋_GB2312" w:eastAsia="仿宋_GB2312" w:cs="仿宋_GB2312"/>
                <w:color w:val="000000"/>
                <w:szCs w:val="21"/>
                <w:lang w:val="en-US" w:eastAsia="zh-CN"/>
              </w:rPr>
              <w:t>85</w:t>
            </w:r>
            <w:r>
              <w:rPr>
                <w:rFonts w:hint="eastAsia" w:ascii="仿宋_GB2312" w:hAnsi="仿宋_GB2312" w:eastAsia="仿宋_GB2312" w:cs="仿宋_GB2312"/>
                <w:color w:val="000000"/>
                <w:szCs w:val="21"/>
              </w:rPr>
              <w:t>%</w:t>
            </w:r>
          </w:p>
        </w:tc>
      </w:tr>
      <w:tr>
        <w:tblPrEx>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tcMar>
              <w:top w:w="15" w:type="dxa"/>
              <w:left w:w="15" w:type="dxa"/>
              <w:right w:w="15" w:type="dxa"/>
            </w:tcMar>
            <w:vAlign w:val="center"/>
          </w:tcPr>
          <w:p>
            <w:pPr>
              <w:widowControl/>
              <w:jc w:val="left"/>
              <w:textAlignment w:val="center"/>
              <w:rPr>
                <w:rFonts w:ascii="仿宋_GB2312" w:hAnsi="仿宋_GB2312" w:eastAsia="仿宋_GB2312" w:cs="仿宋_GB2312"/>
                <w:color w:val="000000"/>
                <w:szCs w:val="21"/>
              </w:rPr>
            </w:pPr>
            <w:r>
              <w:rPr>
                <w:rFonts w:hint="eastAsia" w:ascii="仿宋_GB2312" w:hAnsi="仿宋_GB2312" w:eastAsia="仿宋_GB2312" w:cs="仿宋_GB2312"/>
                <w:color w:val="000000"/>
                <w:kern w:val="0"/>
                <w:szCs w:val="21"/>
              </w:rPr>
              <w:t>经办人（电话）：      单位负责人：</w:t>
            </w:r>
            <w:r>
              <w:rPr>
                <w:rFonts w:hint="eastAsia" w:ascii="仿宋_GB2312" w:hAnsi="仿宋_GB2312" w:eastAsia="仿宋_GB2312" w:cs="仿宋_GB2312"/>
                <w:color w:val="000000"/>
                <w:kern w:val="0"/>
                <w:szCs w:val="21"/>
                <w:lang w:val="en-US" w:eastAsia="zh-CN"/>
              </w:rPr>
              <w:t>农布定主</w:t>
            </w:r>
            <w:r>
              <w:rPr>
                <w:rFonts w:hint="eastAsia" w:ascii="仿宋_GB2312" w:hAnsi="仿宋_GB2312" w:eastAsia="仿宋_GB2312" w:cs="仿宋_GB2312"/>
                <w:color w:val="000000"/>
                <w:kern w:val="0"/>
                <w:szCs w:val="21"/>
              </w:rPr>
              <w:t xml:space="preserve">       上报日期：</w:t>
            </w:r>
            <w:r>
              <w:rPr>
                <w:rFonts w:hint="eastAsia" w:ascii="仿宋_GB2312" w:hAnsi="仿宋_GB2312" w:eastAsia="仿宋_GB2312" w:cs="仿宋_GB2312"/>
                <w:color w:val="000000"/>
                <w:kern w:val="0"/>
                <w:szCs w:val="21"/>
                <w:lang w:eastAsia="zh-CN"/>
              </w:rPr>
              <w:t>2023年8月</w:t>
            </w:r>
            <w:r>
              <w:rPr>
                <w:rFonts w:hint="eastAsia" w:ascii="仿宋_GB2312" w:hAnsi="仿宋_GB2312" w:eastAsia="仿宋_GB2312" w:cs="仿宋_GB2312"/>
                <w:color w:val="000000"/>
                <w:kern w:val="0"/>
                <w:szCs w:val="21"/>
                <w:lang w:val="en-US" w:eastAsia="zh-CN"/>
              </w:rPr>
              <w:t>9</w:t>
            </w:r>
            <w:r>
              <w:rPr>
                <w:rFonts w:hint="eastAsia" w:ascii="仿宋_GB2312" w:hAnsi="仿宋_GB2312" w:eastAsia="仿宋_GB2312" w:cs="仿宋_GB2312"/>
                <w:color w:val="000000"/>
                <w:kern w:val="0"/>
                <w:szCs w:val="21"/>
                <w:lang w:eastAsia="zh-CN"/>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附件2</w:t>
            </w:r>
          </w:p>
        </w:tc>
        <w:tc>
          <w:tcPr>
            <w:tcW w:w="735"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noWrap w:val="0"/>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735"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rPr>
              <w:t>附件2</w:t>
            </w:r>
          </w:p>
        </w:tc>
        <w:tc>
          <w:tcPr>
            <w:tcW w:w="735"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53"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510"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650"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53"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597"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240"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c>
          <w:tcPr>
            <w:tcW w:w="1620" w:type="dxa"/>
            <w:tcBorders>
              <w:top w:val="nil"/>
              <w:left w:val="nil"/>
              <w:bottom w:val="nil"/>
              <w:right w:val="nil"/>
            </w:tcBorders>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8293" w:type="dxa"/>
            <w:gridSpan w:val="9"/>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2"/>
                <w:szCs w:val="32"/>
                <w:u w:val="none"/>
              </w:rPr>
            </w:pPr>
            <w:r>
              <w:rPr>
                <w:rFonts w:hint="eastAsia" w:ascii="宋体" w:hAnsi="宋体" w:eastAsia="宋体" w:cs="宋体"/>
                <w:b/>
                <w:i w:val="0"/>
                <w:color w:val="000000"/>
                <w:kern w:val="0"/>
                <w:sz w:val="28"/>
                <w:szCs w:val="28"/>
                <w:u w:val="none"/>
                <w:lang w:val="en-US" w:eastAsia="zh-CN"/>
              </w:rPr>
              <w:t>德钦县202</w:t>
            </w:r>
            <w:r>
              <w:rPr>
                <w:rFonts w:hint="eastAsia" w:ascii="宋体" w:hAnsi="宋体" w:cs="宋体"/>
                <w:b/>
                <w:i w:val="0"/>
                <w:color w:val="000000"/>
                <w:kern w:val="0"/>
                <w:sz w:val="28"/>
                <w:szCs w:val="28"/>
                <w:u w:val="none"/>
                <w:lang w:val="en-US" w:eastAsia="zh-CN"/>
              </w:rPr>
              <w:t>3</w:t>
            </w:r>
            <w:r>
              <w:rPr>
                <w:rFonts w:hint="eastAsia" w:ascii="宋体" w:hAnsi="宋体" w:eastAsia="宋体" w:cs="宋体"/>
                <w:b/>
                <w:i w:val="0"/>
                <w:color w:val="000000"/>
                <w:kern w:val="0"/>
                <w:sz w:val="28"/>
                <w:szCs w:val="28"/>
                <w:u w:val="none"/>
                <w:lang w:val="en-US" w:eastAsia="zh-CN"/>
              </w:rPr>
              <w:t>年第</w:t>
            </w:r>
            <w:r>
              <w:rPr>
                <w:rFonts w:hint="eastAsia" w:ascii="宋体" w:hAnsi="宋体" w:cs="宋体"/>
                <w:b/>
                <w:i w:val="0"/>
                <w:color w:val="000000"/>
                <w:kern w:val="0"/>
                <w:sz w:val="28"/>
                <w:szCs w:val="28"/>
                <w:u w:val="none"/>
                <w:lang w:val="en-US" w:eastAsia="zh-CN"/>
              </w:rPr>
              <w:t>二</w:t>
            </w:r>
            <w:r>
              <w:rPr>
                <w:rFonts w:hint="eastAsia" w:ascii="宋体" w:hAnsi="宋体" w:eastAsia="宋体" w:cs="宋体"/>
                <w:b/>
                <w:i w:val="0"/>
                <w:color w:val="000000"/>
                <w:kern w:val="0"/>
                <w:sz w:val="28"/>
                <w:szCs w:val="28"/>
                <w:u w:val="none"/>
                <w:lang w:val="en-US" w:eastAsia="zh-CN"/>
              </w:rPr>
              <w:t>批统筹整合财政涉农资金项目绩效目标申报表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293" w:type="dxa"/>
            <w:gridSpan w:val="9"/>
            <w:tcBorders>
              <w:top w:val="nil"/>
              <w:left w:val="nil"/>
              <w:bottom w:val="single" w:color="000000" w:sz="4" w:space="0"/>
              <w:right w:val="nil"/>
            </w:tcBorders>
            <w:shd w:val="clear" w:color="auto" w:fill="FFFFFF"/>
            <w:tcMar>
              <w:top w:w="15" w:type="dxa"/>
              <w:left w:w="15" w:type="dxa"/>
              <w:right w:w="15" w:type="dxa"/>
            </w:tcMar>
          </w:tcPr>
          <w:p>
            <w:pPr>
              <w:keepNext w:val="0"/>
              <w:keepLines w:val="0"/>
              <w:widowControl/>
              <w:suppressLineNumbers w:val="0"/>
              <w:jc w:val="center"/>
              <w:textAlignment w:val="top"/>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4"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项目名称</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default" w:ascii="仿宋" w:hAnsi="仿宋" w:eastAsia="仿宋" w:cs="仿宋"/>
                <w:b w:val="0"/>
                <w:bCs w:val="0"/>
                <w:i w:val="0"/>
                <w:iCs w:val="0"/>
                <w:color w:val="auto"/>
                <w:kern w:val="2"/>
                <w:sz w:val="24"/>
                <w:szCs w:val="24"/>
                <w:highlight w:val="none"/>
                <w:vertAlign w:val="baseline"/>
                <w:lang w:val="en-US" w:eastAsia="zh-CN"/>
              </w:rPr>
              <w:t>拖顶乡德吉村土鸡养殖场建设项目</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项目负责人及联系电话</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1"/>
                <w:szCs w:val="21"/>
                <w:u w:val="none"/>
                <w:lang w:val="en-US" w:eastAsia="zh-CN"/>
              </w:rPr>
            </w:pPr>
            <w:r>
              <w:rPr>
                <w:rFonts w:hint="default" w:ascii="Times New Roman" w:hAnsi="Times New Roman" w:eastAsia="方正仿宋_GB2312" w:cs="Times New Roman"/>
                <w:i w:val="0"/>
                <w:color w:val="000000"/>
                <w:kern w:val="0"/>
                <w:sz w:val="21"/>
                <w:szCs w:val="21"/>
                <w:u w:val="none"/>
                <w:lang w:val="en-US" w:eastAsia="zh-CN"/>
              </w:rPr>
              <w:t>拖顶乡：杨春秀（13988767466）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05" w:hRule="atLeast"/>
        </w:trPr>
        <w:tc>
          <w:tcPr>
            <w:tcW w:w="202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县委组织部</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实施单位</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拖顶乡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 w:hRule="atLeast"/>
        </w:trPr>
        <w:tc>
          <w:tcPr>
            <w:tcW w:w="202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资金情况</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（万元）</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年度资金总额：</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0"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其中：财政拨款</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202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 xml:space="preserve"> 其他资金</w:t>
            </w:r>
          </w:p>
        </w:tc>
        <w:tc>
          <w:tcPr>
            <w:tcW w:w="4110" w:type="dxa"/>
            <w:gridSpan w:val="4"/>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总</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体</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目</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标</w:t>
            </w:r>
          </w:p>
        </w:tc>
        <w:tc>
          <w:tcPr>
            <w:tcW w:w="7558" w:type="dxa"/>
            <w:gridSpan w:val="8"/>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9" w:hRule="atLeast"/>
        </w:trPr>
        <w:tc>
          <w:tcPr>
            <w:tcW w:w="735" w:type="dxa"/>
            <w:vMerge w:val="continue"/>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7558" w:type="dxa"/>
            <w:gridSpan w:val="8"/>
            <w:tcBorders>
              <w:top w:val="single" w:color="000000" w:sz="4" w:space="0"/>
              <w:left w:val="single" w:color="000000" w:sz="4" w:space="0"/>
              <w:bottom w:val="single" w:color="auto" w:sz="4" w:space="0"/>
              <w:right w:val="single" w:color="000000"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default" w:ascii="仿宋" w:hAnsi="仿宋" w:eastAsia="仿宋" w:cs="仿宋"/>
                <w:b w:val="0"/>
                <w:bCs w:val="0"/>
                <w:i w:val="0"/>
                <w:iCs w:val="0"/>
                <w:color w:val="auto"/>
                <w:kern w:val="2"/>
                <w:sz w:val="24"/>
                <w:szCs w:val="24"/>
                <w:highlight w:val="none"/>
                <w:vertAlign w:val="baseline"/>
                <w:lang w:val="en-US" w:eastAsia="zh-CN"/>
              </w:rPr>
              <w:t>通过项目建设，覆盖德吉村161户679人，其中，脱贫户43户159人受益。项目实施后，能解决德吉村土鸡养殖不成规模、出栏率低和市场需求和供给不平衡等问题，为农村产业持续发展、农民持续增收创造有利条件。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绩</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效</w:t>
            </w:r>
          </w:p>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指</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标</w:t>
            </w:r>
          </w:p>
        </w:tc>
        <w:tc>
          <w:tcPr>
            <w:tcW w:w="1288" w:type="dxa"/>
            <w:gridSpan w:val="2"/>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一级指标</w:t>
            </w: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二级指标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三级指标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产出指标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数量指标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lang w:val="en-US" w:eastAsia="zh-CN"/>
              </w:rPr>
              <w:t>土鸡养殖场建设项目数量</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仿宋_GB2312" w:hAnsi="仿宋_GB2312" w:eastAsia="仿宋_GB2312" w:cs="仿宋_GB2312"/>
                <w:i w:val="0"/>
                <w:color w:val="000000"/>
                <w:sz w:val="21"/>
                <w:szCs w:val="21"/>
                <w:u w:val="none"/>
                <w:lang w:val="en-US" w:eastAsia="zh-CN"/>
              </w:rPr>
              <w:t>=</w:t>
            </w:r>
            <w:r>
              <w:rPr>
                <w:rFonts w:hint="eastAsia" w:ascii="仿宋_GB2312" w:hAnsi="仿宋_GB2312" w:eastAsia="仿宋_GB2312" w:cs="仿宋_GB2312"/>
                <w:i w:val="0"/>
                <w:color w:val="000000"/>
                <w:sz w:val="21"/>
                <w:szCs w:val="21"/>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质量指标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项目建成验收合格率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Arial" w:hAnsi="Arial" w:eastAsia="仿宋_GB2312" w:cs="Arial"/>
                <w:i w:val="0"/>
                <w:color w:val="000000"/>
                <w:sz w:val="21"/>
                <w:szCs w:val="21"/>
                <w:u w:val="none"/>
                <w:lang w:val="en-US" w:eastAsia="zh-CN"/>
              </w:rPr>
              <w:t>≥100</w:t>
            </w:r>
            <w:r>
              <w:rPr>
                <w:rFonts w:hint="eastAsia"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项目建成后正常运行保证率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default" w:ascii="Arial" w:hAnsi="Arial" w:eastAsia="仿宋_GB2312" w:cs="Arial"/>
                <w:i w:val="0"/>
                <w:color w:val="000000"/>
                <w:sz w:val="21"/>
                <w:szCs w:val="21"/>
                <w:u w:val="none"/>
                <w:lang w:val="en-US" w:eastAsia="zh-CN"/>
              </w:rPr>
              <w:t>≥100</w:t>
            </w:r>
            <w:r>
              <w:rPr>
                <w:rFonts w:hint="eastAsia"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tabs>
                <w:tab w:val="left" w:pos="793"/>
              </w:tabs>
              <w:jc w:val="left"/>
              <w:rPr>
                <w:rFonts w:hint="eastAsia" w:ascii="仿宋_GB2312" w:hAnsi="仿宋_GB2312" w:eastAsia="仿宋_GB2312" w:cs="仿宋_GB2312"/>
                <w:i w:val="0"/>
                <w:color w:val="000000"/>
                <w:sz w:val="21"/>
                <w:szCs w:val="21"/>
                <w:u w:val="none"/>
                <w:lang w:eastAsia="zh-CN"/>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时效指标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sz w:val="21"/>
                <w:szCs w:val="21"/>
                <w:u w:val="none"/>
                <w:lang w:val="en-US" w:eastAsia="zh-CN"/>
              </w:rPr>
              <w:t>项目建设完成及时率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default" w:ascii="Arial" w:hAnsi="Arial" w:eastAsia="仿宋_GB2312" w:cs="Arial"/>
                <w:i w:val="0"/>
                <w:color w:val="000000"/>
                <w:sz w:val="21"/>
                <w:szCs w:val="21"/>
                <w:u w:val="none"/>
                <w:lang w:val="en-US" w:eastAsia="zh-CN"/>
              </w:rPr>
              <w:t>≥100</w:t>
            </w:r>
            <w:r>
              <w:rPr>
                <w:rFonts w:hint="eastAsia"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成本指标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项目成本总成本节约率</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r>
              <w:rPr>
                <w:rFonts w:hint="default" w:ascii="Arial" w:hAnsi="Arial" w:eastAsia="仿宋_GB2312" w:cs="Arial"/>
                <w:i w:val="0"/>
                <w:color w:val="000000"/>
                <w:sz w:val="21"/>
                <w:szCs w:val="21"/>
                <w:u w:val="none"/>
                <w:lang w:val="en-US" w:eastAsia="zh-CN"/>
              </w:rPr>
              <w:t>≥</w:t>
            </w:r>
            <w:r>
              <w:rPr>
                <w:rFonts w:hint="eastAsia" w:ascii="Arial" w:hAnsi="Arial" w:eastAsia="仿宋_GB2312" w:cs="Arial"/>
                <w:i w:val="0"/>
                <w:color w:val="000000"/>
                <w:sz w:val="21"/>
                <w:szCs w:val="21"/>
                <w:u w:val="none"/>
                <w:lang w:val="en-US" w:eastAsia="zh-CN"/>
              </w:rPr>
              <w:t>1</w:t>
            </w:r>
            <w:r>
              <w:rPr>
                <w:rFonts w:hint="eastAsia"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效益指标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社会效益</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项目建成后受益人数</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default" w:ascii="Arial" w:hAnsi="Arial" w:eastAsia="仿宋_GB2312" w:cs="Arial"/>
                <w:i w:val="0"/>
                <w:color w:val="000000"/>
                <w:sz w:val="21"/>
                <w:szCs w:val="21"/>
                <w:u w:val="none"/>
                <w:lang w:val="en-US" w:eastAsia="zh-CN"/>
              </w:rPr>
              <w:t>≥679</w:t>
            </w:r>
            <w:r>
              <w:rPr>
                <w:rFonts w:hint="eastAsia" w:ascii="Arial" w:hAnsi="Arial" w:eastAsia="仿宋_GB2312" w:cs="Arial"/>
                <w:i w:val="0"/>
                <w:color w:val="000000"/>
                <w:sz w:val="21"/>
                <w:szCs w:val="21"/>
                <w:u w:val="none"/>
                <w:lang w:val="en-US" w:eastAsia="zh-CN"/>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项目实施带动就业人数</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default" w:ascii="Arial" w:hAnsi="Arial" w:eastAsia="仿宋_GB2312" w:cs="Arial"/>
                <w:i w:val="0"/>
                <w:color w:val="000000"/>
                <w:sz w:val="21"/>
                <w:szCs w:val="21"/>
                <w:u w:val="none"/>
                <w:lang w:val="en-US" w:eastAsia="zh-CN"/>
              </w:rPr>
              <w:t>≥</w:t>
            </w:r>
            <w:r>
              <w:rPr>
                <w:rFonts w:hint="eastAsia" w:ascii="Arial" w:hAnsi="Arial" w:eastAsia="仿宋_GB2312" w:cs="Arial"/>
                <w:i w:val="0"/>
                <w:color w:val="000000"/>
                <w:sz w:val="21"/>
                <w:szCs w:val="21"/>
                <w:u w:val="none"/>
                <w:lang w:val="en-US" w:eastAsia="zh-CN"/>
              </w:rPr>
              <w:t>10人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可持续影响</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val="en-US" w:eastAsia="zh-CN"/>
              </w:rPr>
              <w:t>项目建成后使用年限</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rPr>
            </w:pPr>
            <w:r>
              <w:rPr>
                <w:rFonts w:hint="default" w:ascii="Arial" w:hAnsi="Arial" w:eastAsia="仿宋_GB2312" w:cs="Arial"/>
                <w:i w:val="0"/>
                <w:color w:val="000000"/>
                <w:sz w:val="21"/>
                <w:szCs w:val="21"/>
                <w:u w:val="none"/>
                <w:lang w:val="en-US" w:eastAsia="zh-CN"/>
              </w:rPr>
              <w:t>≥</w:t>
            </w:r>
            <w:r>
              <w:rPr>
                <w:rFonts w:hint="eastAsia" w:ascii="Arial" w:hAnsi="Arial" w:eastAsia="仿宋_GB2312" w:cs="Arial"/>
                <w:i w:val="0"/>
                <w:color w:val="000000"/>
                <w:sz w:val="21"/>
                <w:szCs w:val="21"/>
                <w:u w:val="none"/>
                <w:lang w:val="en-US" w:eastAsia="zh-CN"/>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满意度指标</w:t>
            </w:r>
          </w:p>
        </w:tc>
        <w:tc>
          <w:tcPr>
            <w:tcW w:w="1510" w:type="dxa"/>
            <w:vMerge w:val="restart"/>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1"/>
                <w:szCs w:val="21"/>
                <w:u w:val="none"/>
                <w:lang w:val="en-US" w:eastAsia="zh-CN"/>
              </w:rPr>
            </w:pPr>
            <w:r>
              <w:rPr>
                <w:rFonts w:hint="eastAsia" w:ascii="仿宋_GB2312" w:hAnsi="仿宋_GB2312" w:eastAsia="仿宋_GB2312" w:cs="仿宋_GB2312"/>
                <w:i w:val="0"/>
                <w:color w:val="000000"/>
                <w:kern w:val="0"/>
                <w:sz w:val="21"/>
                <w:szCs w:val="21"/>
                <w:u w:val="none"/>
                <w:lang w:val="en-US" w:eastAsia="zh-CN"/>
              </w:rPr>
              <w:t>服务对象</w:t>
            </w:r>
          </w:p>
          <w:p>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rPr>
              <w:t>满意度指标</w:t>
            </w: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w:t>
            </w:r>
          </w:p>
          <w:p>
            <w:pPr>
              <w:jc w:val="left"/>
              <w:rPr>
                <w:rFonts w:hint="eastAsia" w:ascii="仿宋_GB2312" w:hAnsi="仿宋_GB2312" w:eastAsia="仿宋_GB2312" w:cs="仿宋_GB2312"/>
                <w:i w:val="0"/>
                <w:color w:val="000000"/>
                <w:sz w:val="21"/>
                <w:szCs w:val="21"/>
                <w:u w:val="none"/>
              </w:rPr>
            </w:pPr>
          </w:p>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户数（≥**户）</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default" w:ascii="仿宋_GB2312" w:hAnsi="仿宋_GB2312" w:eastAsia="仿宋_GB2312" w:cs="仿宋_GB2312"/>
                <w:i w:val="0"/>
                <w:color w:val="000000"/>
                <w:sz w:val="21"/>
                <w:szCs w:val="21"/>
                <w:u w:val="none"/>
                <w:lang w:val="en-US" w:eastAsia="zh-CN"/>
              </w:rPr>
            </w:pPr>
            <w:r>
              <w:rPr>
                <w:rFonts w:hint="eastAsia" w:ascii="仿宋_GB2312" w:hAnsi="仿宋_GB2312" w:eastAsia="仿宋_GB2312" w:cs="仿宋_GB2312"/>
                <w:i w:val="0"/>
                <w:color w:val="000000"/>
                <w:sz w:val="21"/>
                <w:szCs w:val="21"/>
                <w:u w:val="none"/>
              </w:rPr>
              <w:t>≥</w:t>
            </w:r>
            <w:r>
              <w:rPr>
                <w:rFonts w:hint="default" w:ascii="仿宋_GB2312" w:hAnsi="仿宋_GB2312" w:eastAsia="仿宋_GB2312" w:cs="仿宋_GB2312"/>
                <w:i w:val="0"/>
                <w:color w:val="000000"/>
                <w:sz w:val="21"/>
                <w:szCs w:val="21"/>
                <w:u w:val="none"/>
                <w:lang w:val="en-US"/>
              </w:rPr>
              <w:t>43</w:t>
            </w:r>
            <w:r>
              <w:rPr>
                <w:rFonts w:hint="eastAsia" w:ascii="仿宋_GB2312" w:hAnsi="仿宋_GB2312" w:eastAsia="仿宋_GB2312" w:cs="仿宋_GB2312"/>
                <w:i w:val="0"/>
                <w:color w:val="000000"/>
                <w:sz w:val="21"/>
                <w:szCs w:val="21"/>
                <w:u w:val="none"/>
                <w:lang w:val="en-US" w:eastAsia="zh-CN"/>
              </w:rPr>
              <w:t>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735"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288" w:type="dxa"/>
            <w:gridSpan w:val="2"/>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1510" w:type="dxa"/>
            <w:vMerge w:val="continue"/>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rPr>
            </w:pPr>
          </w:p>
        </w:tc>
        <w:tc>
          <w:tcPr>
            <w:tcW w:w="3140" w:type="dxa"/>
            <w:gridSpan w:val="4"/>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left"/>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rPr>
              <w:t>★受益建档立卡贫困户满意度（≥**%）</w:t>
            </w:r>
          </w:p>
        </w:tc>
        <w:tc>
          <w:tcPr>
            <w:tcW w:w="162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jc w:val="center"/>
              <w:rPr>
                <w:rFonts w:hint="eastAsia" w:ascii="仿宋_GB2312" w:hAnsi="仿宋_GB2312" w:eastAsia="仿宋_GB2312" w:cs="仿宋_GB2312"/>
                <w:i w:val="0"/>
                <w:color w:val="000000"/>
                <w:sz w:val="21"/>
                <w:szCs w:val="21"/>
                <w:u w:val="none"/>
                <w:lang w:val="en-US" w:eastAsia="zh-CN"/>
              </w:rPr>
            </w:pPr>
            <w:r>
              <w:rPr>
                <w:rFonts w:hint="default" w:ascii="Arial" w:hAnsi="Arial" w:eastAsia="仿宋_GB2312" w:cs="Arial"/>
                <w:i w:val="0"/>
                <w:color w:val="000000"/>
                <w:sz w:val="21"/>
                <w:szCs w:val="21"/>
                <w:u w:val="none"/>
                <w:lang w:val="en-US" w:eastAsia="zh-CN"/>
              </w:rPr>
              <w:t>≥95</w:t>
            </w:r>
            <w:r>
              <w:rPr>
                <w:rFonts w:hint="eastAsia" w:ascii="仿宋_GB2312" w:hAnsi="仿宋_GB2312" w:eastAsia="仿宋_GB2312" w:cs="仿宋_GB2312"/>
                <w:i w:val="0"/>
                <w:color w:val="00000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8293" w:type="dxa"/>
            <w:gridSpan w:val="9"/>
            <w:tcBorders>
              <w:top w:val="single" w:color="auto" w:sz="4" w:space="0"/>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仿宋_GB2312" w:hAnsi="仿宋_GB2312" w:eastAsia="仿宋_GB2312" w:cs="仿宋_GB2312"/>
                <w:i w:val="0"/>
                <w:color w:val="000000"/>
                <w:sz w:val="21"/>
                <w:szCs w:val="21"/>
                <w:u w:val="none"/>
                <w:lang w:val="en-US"/>
              </w:rPr>
            </w:pPr>
            <w:r>
              <w:rPr>
                <w:rFonts w:hint="eastAsia" w:ascii="仿宋_GB2312" w:hAnsi="仿宋_GB2312" w:eastAsia="仿宋_GB2312" w:cs="仿宋_GB2312"/>
                <w:i w:val="0"/>
                <w:color w:val="000000"/>
                <w:kern w:val="0"/>
                <w:sz w:val="21"/>
                <w:szCs w:val="21"/>
                <w:u w:val="none"/>
                <w:lang w:val="en-US" w:eastAsia="zh-CN"/>
              </w:rPr>
              <w:t>经办人（电话）：</w:t>
            </w:r>
            <w:r>
              <w:rPr>
                <w:rFonts w:hint="default" w:ascii="仿宋_GB2312" w:hAnsi="仿宋_GB2312" w:eastAsia="仿宋_GB2312" w:cs="仿宋_GB2312"/>
                <w:i w:val="0"/>
                <w:color w:val="000000"/>
                <w:kern w:val="0"/>
                <w:sz w:val="21"/>
                <w:szCs w:val="21"/>
                <w:u w:val="none"/>
                <w:lang w:val="en-US" w:eastAsia="zh-CN"/>
              </w:rPr>
              <w:t>18987970102</w:t>
            </w:r>
            <w:r>
              <w:rPr>
                <w:rFonts w:hint="eastAsia" w:ascii="仿宋_GB2312" w:hAnsi="仿宋_GB2312" w:eastAsia="仿宋_GB2312" w:cs="仿宋_GB2312"/>
                <w:i w:val="0"/>
                <w:color w:val="000000"/>
                <w:kern w:val="0"/>
                <w:sz w:val="21"/>
                <w:szCs w:val="21"/>
                <w:u w:val="none"/>
                <w:lang w:val="en-US" w:eastAsia="zh-CN"/>
              </w:rPr>
              <w:t xml:space="preserve">   单位负责人：龙跃    上报日期：2023年8月9日</w:t>
            </w:r>
          </w:p>
        </w:tc>
      </w:tr>
    </w:tbl>
    <w:p>
      <w:pPr>
        <w:tabs>
          <w:tab w:val="left" w:pos="606"/>
        </w:tabs>
        <w:rPr>
          <w:rFonts w:hint="eastAsia" w:eastAsia="宋体"/>
          <w:lang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CA1CB82-EDE0-4D13-B100-4DA4102F5ED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8CEE7F8D-A5D5-4BC5-806B-F4C92A32FF61}"/>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00000001" w:usb1="08000000" w:usb2="00000000" w:usb3="00000000" w:csb0="00040000" w:csb1="00000000"/>
    <w:embedRegular r:id="rId3" w:fontKey="{2CFA0B06-68B6-45FD-A18B-13E140036405}"/>
  </w:font>
  <w:font w:name="楷体">
    <w:panose1 w:val="02010609060101010101"/>
    <w:charset w:val="86"/>
    <w:family w:val="auto"/>
    <w:pitch w:val="default"/>
    <w:sig w:usb0="800002BF" w:usb1="38CF7CFA" w:usb2="00000016" w:usb3="00000000" w:csb0="00040001" w:csb1="00000000"/>
    <w:embedRegular r:id="rId4" w:fontKey="{FACE5398-24DC-4991-A710-8EE1AB10204C}"/>
  </w:font>
  <w:font w:name="方正仿宋简体">
    <w:altName w:val="微软雅黑"/>
    <w:panose1 w:val="02000000000000000000"/>
    <w:charset w:val="86"/>
    <w:family w:val="script"/>
    <w:pitch w:val="default"/>
    <w:sig w:usb0="00000000" w:usb1="00000000" w:usb2="00000012" w:usb3="00000000" w:csb0="00040001" w:csb1="00000000"/>
    <w:embedRegular r:id="rId5" w:fontKey="{282352DB-3BEB-40EC-92A8-D10F19304301}"/>
  </w:font>
  <w:font w:name="仿宋">
    <w:panose1 w:val="02010609060101010101"/>
    <w:charset w:val="86"/>
    <w:family w:val="auto"/>
    <w:pitch w:val="default"/>
    <w:sig w:usb0="800002BF" w:usb1="38CF7CFA" w:usb2="00000016" w:usb3="00000000" w:csb0="00040001" w:csb1="00000000"/>
    <w:embedRegular r:id="rId6" w:fontKey="{E083485B-5A6E-44F8-9762-055824E86485}"/>
  </w:font>
  <w:font w:name="方正仿宋_GBK">
    <w:altName w:val="微软雅黑"/>
    <w:panose1 w:val="03000509000000000000"/>
    <w:charset w:val="86"/>
    <w:family w:val="script"/>
    <w:pitch w:val="default"/>
    <w:sig w:usb0="00000000" w:usb1="00000000" w:usb2="00000000" w:usb3="00000000" w:csb0="00040000" w:csb1="00000000"/>
    <w:embedRegular r:id="rId7" w:fontKey="{67C91FDD-56D0-43E8-A251-29F7EA6A5511}"/>
  </w:font>
  <w:font w:name="方正仿宋_GB2312">
    <w:panose1 w:val="02000000000000000000"/>
    <w:charset w:val="86"/>
    <w:family w:val="auto"/>
    <w:pitch w:val="default"/>
    <w:sig w:usb0="A00002BF" w:usb1="184F6CFA" w:usb2="00000012" w:usb3="00000000" w:csb0="00040001" w:csb1="00000000"/>
    <w:embedRegular r:id="rId8" w:fontKey="{36A25964-D556-4ACB-AAB7-ACEBE15BED3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w:t>
                    </w:r>
                    <w:r>
                      <w:rPr>
                        <w:rStyle w:val="9"/>
                        <w:rFonts w:hint="eastAsia" w:ascii="仿宋_GB2312" w:hAnsi="仿宋_GB2312" w:eastAsia="仿宋_GB2312" w:cs="仿宋_GB2312"/>
                        <w:sz w:val="28"/>
                        <w:szCs w:val="28"/>
                        <w:lang w:val="en-US" w:eastAsia="zh-CN"/>
                      </w:rPr>
                      <w:t>2</w:t>
                    </w:r>
                    <w:r>
                      <w:rPr>
                        <w:rStyle w:val="9"/>
                        <w:rFonts w:hint="eastAsia" w:ascii="仿宋_GB2312" w:hAnsi="仿宋_GB2312" w:eastAsia="仿宋_GB2312" w:cs="仿宋_GB2312"/>
                        <w:sz w:val="28"/>
                        <w:szCs w:val="28"/>
                        <w:lang w:eastAsia="zh-CN"/>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4"/>
                      <w:rPr>
                        <w:rStyle w:val="9"/>
                        <w:rFonts w:hint="eastAsia" w:ascii="仿宋_GB2312" w:hAnsi="仿宋_GB2312" w:eastAsia="仿宋_GB2312" w:cs="仿宋_GB2312"/>
                        <w:sz w:val="28"/>
                        <w:szCs w:val="28"/>
                        <w:lang w:eastAsia="zh-CN"/>
                      </w:rPr>
                    </w:pPr>
                    <w:r>
                      <w:rPr>
                        <w:rStyle w:val="9"/>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Style w:val="9"/>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Style w:val="9"/>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Style w:val="9"/>
                        <w:rFonts w:hint="eastAsia" w:ascii="仿宋_GB2312" w:hAnsi="仿宋_GB2312" w:eastAsia="仿宋_GB2312" w:cs="仿宋_GB2312"/>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6264D3"/>
    <w:multiLevelType w:val="singleLevel"/>
    <w:tmpl w:val="1C6264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NTVkYTZhNjA3ZmVjOTkzNjhmMzBiMjY0M2I5ZDMifQ=="/>
    <w:docVar w:name="KSO_WPS_MARK_KEY" w:val="03fbec15-1236-4437-9bfe-1addcd3c3f66"/>
  </w:docVars>
  <w:rsids>
    <w:rsidRoot w:val="48484976"/>
    <w:rsid w:val="025D08AA"/>
    <w:rsid w:val="03FA550E"/>
    <w:rsid w:val="0422003D"/>
    <w:rsid w:val="0433025A"/>
    <w:rsid w:val="06F3181D"/>
    <w:rsid w:val="07BF505C"/>
    <w:rsid w:val="09440A55"/>
    <w:rsid w:val="0F16079E"/>
    <w:rsid w:val="11C162AC"/>
    <w:rsid w:val="18A822C7"/>
    <w:rsid w:val="19FD555F"/>
    <w:rsid w:val="1A430988"/>
    <w:rsid w:val="1AD031C7"/>
    <w:rsid w:val="1BC872C4"/>
    <w:rsid w:val="1D72025A"/>
    <w:rsid w:val="1E14234D"/>
    <w:rsid w:val="1F016D75"/>
    <w:rsid w:val="1F420552"/>
    <w:rsid w:val="1F6D3FA0"/>
    <w:rsid w:val="21701F90"/>
    <w:rsid w:val="27035654"/>
    <w:rsid w:val="29601A3F"/>
    <w:rsid w:val="2A241B82"/>
    <w:rsid w:val="2B26703D"/>
    <w:rsid w:val="2B732DA8"/>
    <w:rsid w:val="2BDF728D"/>
    <w:rsid w:val="2C5A7AC4"/>
    <w:rsid w:val="2FF80E15"/>
    <w:rsid w:val="30502ECC"/>
    <w:rsid w:val="30915A7F"/>
    <w:rsid w:val="30A572E7"/>
    <w:rsid w:val="32F81DE5"/>
    <w:rsid w:val="34184D87"/>
    <w:rsid w:val="365712F1"/>
    <w:rsid w:val="374970B3"/>
    <w:rsid w:val="37B95FE7"/>
    <w:rsid w:val="39D87059"/>
    <w:rsid w:val="3AA27283"/>
    <w:rsid w:val="3B4F0A10"/>
    <w:rsid w:val="3C3151BD"/>
    <w:rsid w:val="3D4A76E1"/>
    <w:rsid w:val="40454BCA"/>
    <w:rsid w:val="408A68FA"/>
    <w:rsid w:val="419D0727"/>
    <w:rsid w:val="43AF4742"/>
    <w:rsid w:val="44526E52"/>
    <w:rsid w:val="450A2B94"/>
    <w:rsid w:val="48484976"/>
    <w:rsid w:val="48B264C9"/>
    <w:rsid w:val="4D5714B4"/>
    <w:rsid w:val="4D8F7605"/>
    <w:rsid w:val="4E3E4981"/>
    <w:rsid w:val="51857C36"/>
    <w:rsid w:val="52702F00"/>
    <w:rsid w:val="55503B49"/>
    <w:rsid w:val="556A671B"/>
    <w:rsid w:val="568130AE"/>
    <w:rsid w:val="569847B2"/>
    <w:rsid w:val="56E717A3"/>
    <w:rsid w:val="57C40364"/>
    <w:rsid w:val="5B135CAE"/>
    <w:rsid w:val="626F711E"/>
    <w:rsid w:val="635B79CA"/>
    <w:rsid w:val="63AB0049"/>
    <w:rsid w:val="64835103"/>
    <w:rsid w:val="653F6617"/>
    <w:rsid w:val="65DC0F6F"/>
    <w:rsid w:val="66A94DF8"/>
    <w:rsid w:val="68CF2300"/>
    <w:rsid w:val="699775F2"/>
    <w:rsid w:val="6B694E6B"/>
    <w:rsid w:val="6C533A45"/>
    <w:rsid w:val="6CE33E00"/>
    <w:rsid w:val="6F413BF1"/>
    <w:rsid w:val="71483B3B"/>
    <w:rsid w:val="78187326"/>
    <w:rsid w:val="7A0423EA"/>
    <w:rsid w:val="7A8174CC"/>
    <w:rsid w:val="7CC052BC"/>
    <w:rsid w:val="7DCE0E1D"/>
    <w:rsid w:val="7FAC54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imes New Roman" w:hAnsi="Times New Roman" w:eastAsia="宋体" w:cs="Times New Roman"/>
      <w:kern w:val="2"/>
      <w:sz w:val="21"/>
      <w:lang w:val="en-US" w:eastAsia="zh-CN"/>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600" w:lineRule="exact"/>
      <w:ind w:firstLine="630"/>
    </w:pPr>
    <w:rPr>
      <w:rFonts w:eastAsia="仿宋_GB2312" w:cs="仿宋_GB2312"/>
      <w:sz w:val="32"/>
      <w:szCs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2"/>
    <w:basedOn w:val="3"/>
    <w:next w:val="1"/>
    <w:qFormat/>
    <w:uiPriority w:val="99"/>
    <w:pPr>
      <w:ind w:firstLine="420" w:firstLineChars="200"/>
    </w:pPr>
    <w:rPr>
      <w:rFonts w:ascii="Times New Roman" w:hAnsi="Times New Roman"/>
    </w:rPr>
  </w:style>
  <w:style w:type="character" w:styleId="9">
    <w:name w:val="page number"/>
    <w:basedOn w:val="8"/>
    <w:qFormat/>
    <w:uiPriority w:val="0"/>
  </w:style>
  <w:style w:type="character" w:customStyle="1" w:styleId="10">
    <w:name w:val="NormalCharacter"/>
    <w:link w:val="1"/>
    <w:semiHidden/>
    <w:qFormat/>
    <w:uiPriority w:val="0"/>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迪庆州德钦县党政机关单位</Company>
  <Pages>6</Pages>
  <Words>2190</Words>
  <Characters>2390</Characters>
  <Lines>0</Lines>
  <Paragraphs>0</Paragraphs>
  <TotalTime>0</TotalTime>
  <ScaleCrop>false</ScaleCrop>
  <LinksUpToDate>false</LinksUpToDate>
  <CharactersWithSpaces>2448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2022-03-18T09:01:00Z</dcterms:created>
  <dc:creator>雾里看花</dc:creator>
  <cp:lastModifiedBy>扶桑</cp:lastModifiedBy>
  <cp:lastPrinted>2023-08-17T03:05:00Z</cp:lastPrinted>
  <dcterms:modified xsi:type="dcterms:W3CDTF">2024-07-18T07:27:12Z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984043C8F4504B4A885562C745D4F4D8_13</vt:lpwstr>
  </property>
</Properties>
</file>