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22"/>
          <w:lang w:val="en-US" w:eastAsia="zh-CN"/>
        </w:rPr>
      </w:pPr>
      <w:r>
        <w:rPr>
          <w:rFonts w:hint="eastAsia" w:ascii="方正小标宋简体" w:hAnsi="方正小标宋简体" w:eastAsia="方正小标宋简体" w:cs="方正小标宋简体"/>
          <w:b w:val="0"/>
          <w:bCs/>
          <w:sz w:val="44"/>
          <w:szCs w:val="22"/>
        </w:rPr>
        <w:t>关于</w:t>
      </w:r>
      <w:r>
        <w:rPr>
          <w:rFonts w:hint="eastAsia" w:ascii="方正小标宋简体" w:hAnsi="方正小标宋简体" w:eastAsia="方正小标宋简体" w:cs="方正小标宋简体"/>
          <w:b w:val="0"/>
          <w:bCs/>
          <w:sz w:val="44"/>
          <w:szCs w:val="22"/>
          <w:lang w:eastAsia="zh-CN"/>
        </w:rPr>
        <w:t>下</w:t>
      </w:r>
      <w:r>
        <w:rPr>
          <w:rFonts w:hint="eastAsia" w:ascii="方正小标宋简体" w:hAnsi="方正小标宋简体" w:eastAsia="方正小标宋简体" w:cs="方正小标宋简体"/>
          <w:b w:val="0"/>
          <w:bCs/>
          <w:sz w:val="44"/>
          <w:szCs w:val="22"/>
          <w:lang w:val="en-US" w:eastAsia="zh-CN"/>
        </w:rPr>
        <w:t>达拖顶乡洛玉吉力贡小组、书卡小组民族团结进步示范村建设项目的通知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德财农〔2023〕26号</w:t>
      </w: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德钦县民宗局</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Style w:val="10"/>
          <w:rFonts w:hint="eastAsia" w:ascii="Times New Roman" w:hAnsi="Times New Roman" w:eastAsia="仿宋_GB2312"/>
          <w:b w:val="0"/>
          <w:i w:val="0"/>
          <w:caps w:val="0"/>
          <w:color w:val="auto"/>
          <w:spacing w:val="0"/>
          <w:w w:val="100"/>
          <w:kern w:val="2"/>
          <w:sz w:val="32"/>
          <w:szCs w:val="32"/>
          <w:lang w:val="en-US" w:eastAsia="zh-CN" w:bidi="ar-SA"/>
        </w:rPr>
        <w:t>经</w:t>
      </w:r>
      <w:r>
        <w:rPr>
          <w:rFonts w:hint="eastAsia" w:ascii="仿宋_GB2312" w:hAnsi="仿宋_GB2312" w:eastAsia="仿宋_GB2312" w:cs="仿宋_GB2312"/>
          <w:sz w:val="32"/>
          <w:lang w:eastAsia="zh-CN"/>
        </w:rPr>
        <w:t>县</w:t>
      </w:r>
      <w:r>
        <w:rPr>
          <w:rFonts w:hint="eastAsia" w:ascii="仿宋_GB2312" w:hAnsi="仿宋_GB2312" w:eastAsia="仿宋_GB2312" w:cs="仿宋_GB2312"/>
          <w:sz w:val="32"/>
          <w:lang w:val="en-US" w:eastAsia="zh-CN"/>
        </w:rPr>
        <w:t>十五届人民政府第15次常务会议研究同意，</w:t>
      </w:r>
      <w:r>
        <w:rPr>
          <w:rFonts w:hint="eastAsia" w:ascii="仿宋_GB2312" w:hAnsi="仿宋_GB2312" w:eastAsia="仿宋_GB2312" w:cs="仿宋_GB2312"/>
          <w:sz w:val="32"/>
          <w:lang w:eastAsia="zh-CN"/>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2023年第一批</w:t>
      </w:r>
      <w:r>
        <w:rPr>
          <w:rFonts w:hint="eastAsia" w:ascii="仿宋_GB2312" w:hAnsi="仿宋_GB2312" w:eastAsia="仿宋_GB2312" w:cs="仿宋_GB2312"/>
          <w:sz w:val="32"/>
          <w:lang w:val="en-US" w:eastAsia="zh-CN"/>
        </w:rPr>
        <w:t>中央财政衔接推进乡村振兴补助资金(迪财农</w:t>
      </w:r>
      <w:r>
        <w:rPr>
          <w:rFonts w:hint="eastAsia" w:ascii="仿宋_GB2312" w:hAnsi="仿宋_GB2312" w:eastAsia="仿宋_GB2312" w:cs="仿宋_GB2312"/>
          <w:sz w:val="32"/>
          <w:szCs w:val="32"/>
          <w:lang w:val="en-US" w:eastAsia="zh-CN"/>
        </w:rPr>
        <w:t>〔2023〕9号</w:t>
      </w:r>
      <w:r>
        <w:rPr>
          <w:rFonts w:hint="eastAsia" w:ascii="仿宋_GB2312" w:hAnsi="仿宋_GB2312" w:eastAsia="仿宋_GB2312" w:cs="仿宋_GB2312"/>
          <w:sz w:val="32"/>
          <w:lang w:val="en-US" w:eastAsia="zh-CN"/>
        </w:rPr>
        <w:t>)199.46万元</w:t>
      </w:r>
      <w:r>
        <w:rPr>
          <w:rFonts w:hint="eastAsia" w:ascii="仿宋_GB2312" w:hAnsi="仿宋_GB2312" w:eastAsia="仿宋_GB2312" w:cs="仿宋_GB2312"/>
          <w:sz w:val="32"/>
          <w:szCs w:val="32"/>
          <w:lang w:val="en-US" w:eastAsia="zh-CN"/>
        </w:rPr>
        <w:t>下达给你单位，专项用于拖顶乡洛玉吉力贡小组、书卡小组民族团结进步示范村建设项目。此款</w:t>
      </w:r>
      <w:r>
        <w:rPr>
          <w:rFonts w:hint="eastAsia" w:ascii="仿宋_GB2312" w:hAnsi="仿宋_GB2312" w:eastAsia="仿宋_GB2312" w:cs="仿宋_GB2312"/>
          <w:sz w:val="32"/>
          <w:szCs w:val="32"/>
        </w:rPr>
        <w:t>请列入20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2130504—农村基础设施建设</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（一）管好用好衔接资金。</w:t>
      </w:r>
      <w:r>
        <w:rPr>
          <w:rFonts w:hint="eastAsia" w:ascii="仿宋_GB2312" w:hAnsi="仿宋_GB2312" w:eastAsia="仿宋_GB2312" w:cs="仿宋_GB2312"/>
          <w:sz w:val="32"/>
          <w:szCs w:val="32"/>
          <w:lang w:val="en-US" w:eastAsia="zh-CN"/>
        </w:rPr>
        <w:t>认真贯彻落实党中央、国务院和省、州、县党委政府关于巩固拓展脱贫攻坚成果同乡村振兴有效衔接的决策部署，严格按照</w:t>
      </w:r>
      <w:r>
        <w:rPr>
          <w:rFonts w:hint="eastAsia" w:ascii="仿宋_GB2312" w:hAnsi="仿宋_GB2312" w:eastAsia="仿宋_GB2312" w:cs="仿宋_GB2312"/>
          <w:color w:val="auto"/>
          <w:sz w:val="32"/>
          <w:szCs w:val="32"/>
          <w:highlight w:val="none"/>
          <w:lang w:val="en-US" w:eastAsia="zh-CN"/>
        </w:rPr>
        <w:t>财政部等6部委《中央财政衔接推进乡村振兴补助资金管理办法》（财农［2021]19号）、《关于加强中央财政衔接推进乡村振兴补助资金使用管理的指导意见》（财农〔2022〕14号）</w:t>
      </w:r>
      <w:r>
        <w:rPr>
          <w:rFonts w:hint="eastAsia" w:ascii="仿宋_GB2312" w:hAnsi="仿宋_GB2312" w:eastAsia="仿宋_GB2312" w:cs="仿宋_GB2312"/>
          <w:b w:val="0"/>
          <w:bCs w:val="0"/>
          <w:color w:val="auto"/>
          <w:sz w:val="32"/>
          <w:szCs w:val="32"/>
          <w:highlight w:val="none"/>
          <w:lang w:val="en-US" w:eastAsia="zh-CN"/>
        </w:rPr>
        <w:t>规定管理使用资金，资金不得用于单位基本支出等与巩固拓展脱贫攻坚同乡村振兴无关的支出；用于项目前期设计、评审、招标、监理以及验收等与项目管理相关的项目管理费不得超过1%的比例。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（二）及时挂接项目。</w:t>
      </w:r>
      <w:r>
        <w:rPr>
          <w:rFonts w:hint="eastAsia" w:ascii="仿宋_GB2312" w:hAnsi="仿宋_GB2312" w:eastAsia="仿宋_GB2312" w:cs="仿宋_GB2312"/>
          <w:b w:val="0"/>
          <w:bCs w:val="0"/>
          <w:sz w:val="32"/>
          <w:szCs w:val="32"/>
          <w:lang w:val="en-US" w:eastAsia="zh-CN"/>
        </w:rPr>
        <w:t>严格按照《云南财政·预算管理一体化服务平台》的相关要求，在3月24日前完成项目挂接，如果不及时挂接项目，导致资金系统下达时限超过上级要求或未达到绩效目标要求的，后果由资金使用单位承担。县财政局将县级资金文件下发时间视同为资金下达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（三）加快资金支出进度</w:t>
      </w:r>
      <w:r>
        <w:rPr>
          <w:rFonts w:hint="eastAsia" w:ascii="仿宋_GB2312" w:hAnsi="仿宋_GB2312" w:eastAsia="仿宋_GB2312" w:cs="仿宋_GB2312"/>
          <w:b w:val="0"/>
          <w:bCs w:val="0"/>
          <w:sz w:val="32"/>
          <w:szCs w:val="32"/>
          <w:lang w:val="en-US" w:eastAsia="zh-CN"/>
        </w:rPr>
        <w:t>。资金使用单位要提前做好项目储备，开展项目前期，加快项目实施进度，确保按序时要求完成资金支出，严格按国库集中支付要求拨付资金，杜绝出现“以拨代支”。</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方正仿宋简体" w:eastAsia="仿宋_GB2312" w:cs="方正仿宋简体"/>
          <w:sz w:val="32"/>
          <w:szCs w:val="32"/>
          <w:lang w:val="en-US" w:eastAsia="zh-CN" w:bidi="ar-SA"/>
        </w:rPr>
      </w:pPr>
      <w:r>
        <w:rPr>
          <w:rFonts w:hint="eastAsia" w:ascii="楷体" w:hAnsi="楷体" w:eastAsia="楷体" w:cs="楷体"/>
          <w:b/>
          <w:bCs/>
          <w:sz w:val="32"/>
          <w:szCs w:val="32"/>
          <w:lang w:val="en-US" w:eastAsia="zh-CN"/>
        </w:rPr>
        <w:t>（四）落实全面绩效管理。</w:t>
      </w:r>
      <w:r>
        <w:rPr>
          <w:rFonts w:hint="eastAsia" w:ascii="仿宋_GB2312" w:hAnsi="仿宋_GB2312" w:eastAsia="仿宋_GB2312" w:cs="仿宋_GB2312"/>
          <w:b w:val="0"/>
          <w:bCs w:val="0"/>
          <w:sz w:val="32"/>
          <w:szCs w:val="32"/>
          <w:lang w:val="en-US" w:eastAsia="zh-CN"/>
        </w:rPr>
        <w:t>项目</w:t>
      </w:r>
      <w:r>
        <w:rPr>
          <w:rFonts w:hint="eastAsia" w:ascii="仿宋_GB2312" w:hAnsi="方正仿宋简体" w:eastAsia="仿宋_GB2312" w:cs="方正仿宋简体"/>
          <w:sz w:val="32"/>
          <w:szCs w:val="32"/>
          <w:lang w:val="en-US" w:eastAsia="zh-CN" w:bidi="ar-SA"/>
        </w:rPr>
        <w:t>绩效目标与资金文件一同下发，资金使用单位务必要严格按照项目绩效目标管理资金，若出现偏离目标或调整绩效内容情况，严格按程序报财政、乡村振兴等部门进行相应调整。</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楷体" w:hAnsi="楷体" w:eastAsia="楷体" w:cs="楷体"/>
          <w:b/>
          <w:bCs/>
          <w:sz w:val="32"/>
          <w:szCs w:val="32"/>
          <w:lang w:val="en-US" w:eastAsia="zh-CN"/>
        </w:rPr>
        <w:t>（五）加强资产后续管理。</w:t>
      </w:r>
      <w:r>
        <w:rPr>
          <w:rFonts w:hint="eastAsia" w:ascii="仿宋_GB2312" w:hAnsi="方正仿宋简体" w:eastAsia="仿宋_GB2312" w:cs="方正仿宋简体"/>
          <w:sz w:val="32"/>
          <w:szCs w:val="32"/>
          <w:lang w:val="en-US" w:eastAsia="zh-CN" w:bidi="ar-SA"/>
        </w:rPr>
        <w:t>衔接资金项目形成的资产要严格按照相关规定进行资产确权、移交等后续管理工作，避免国有资产闲置浪费。</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附件：1.德钦县2023年第一批统筹整合财政涉农资金项目规划表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2.德钦县2023年第一批统筹整合财政涉农资金项目绩效目标申报表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bookmarkStart w:id="0" w:name="_GoBack"/>
      <w:bookmarkEnd w:id="0"/>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w:t>
      </w:r>
    </w:p>
    <w:p>
      <w:pPr>
        <w:rPr>
          <w:rFonts w:hint="eastAsia" w:ascii="仿宋_GB2312" w:hAnsi="仿宋_GB2312" w:eastAsia="仿宋_GB2312" w:cs="仿宋_GB2312"/>
          <w:sz w:val="20"/>
          <w:szCs w:val="20"/>
          <w:lang w:val="en-US" w:eastAsia="zh-CN"/>
        </w:rPr>
      </w:pPr>
    </w:p>
    <w:tbl>
      <w:tblPr>
        <w:tblStyle w:val="7"/>
        <w:tblW w:w="14431" w:type="dxa"/>
        <w:tblInd w:w="-325" w:type="dxa"/>
        <w:tblLayout w:type="fixed"/>
        <w:tblCellMar>
          <w:top w:w="0" w:type="dxa"/>
          <w:left w:w="0" w:type="dxa"/>
          <w:bottom w:w="0" w:type="dxa"/>
          <w:right w:w="0" w:type="dxa"/>
        </w:tblCellMar>
      </w:tblPr>
      <w:tblGrid>
        <w:gridCol w:w="622"/>
        <w:gridCol w:w="818"/>
        <w:gridCol w:w="907"/>
        <w:gridCol w:w="929"/>
        <w:gridCol w:w="1207"/>
        <w:gridCol w:w="2603"/>
        <w:gridCol w:w="1673"/>
        <w:gridCol w:w="2224"/>
        <w:gridCol w:w="2103"/>
        <w:gridCol w:w="1345"/>
      </w:tblGrid>
      <w:tr>
        <w:tblPrEx>
          <w:tblCellMar>
            <w:top w:w="0" w:type="dxa"/>
            <w:left w:w="0" w:type="dxa"/>
            <w:bottom w:w="0" w:type="dxa"/>
            <w:right w:w="0" w:type="dxa"/>
          </w:tblCellMar>
        </w:tblPrEx>
        <w:trPr>
          <w:trHeight w:val="640" w:hRule="atLeast"/>
        </w:trPr>
        <w:tc>
          <w:tcPr>
            <w:tcW w:w="14431"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bCs w:val="0"/>
                <w:i w:val="0"/>
                <w:color w:val="000000"/>
                <w:kern w:val="0"/>
                <w:sz w:val="44"/>
                <w:szCs w:val="44"/>
                <w:u w:val="none"/>
                <w:lang w:val="en-US" w:eastAsia="zh-CN" w:bidi="ar"/>
              </w:rPr>
              <w:t>德钦县2023年第一批统筹整合财政涉农资金项目规划表</w:t>
            </w:r>
          </w:p>
        </w:tc>
      </w:tr>
      <w:tr>
        <w:tblPrEx>
          <w:tblCellMar>
            <w:top w:w="0" w:type="dxa"/>
            <w:left w:w="0" w:type="dxa"/>
            <w:bottom w:w="0" w:type="dxa"/>
            <w:right w:w="0"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序号</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项目主管单位</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项目实施单位</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资金下拨单位</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项目名称</w:t>
            </w:r>
          </w:p>
        </w:tc>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建设内容及规模</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总投入资金（万元）</w:t>
            </w:r>
          </w:p>
        </w:tc>
        <w:tc>
          <w:tcPr>
            <w:tcW w:w="2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本次投入资金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（万元）</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绩效目标</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4047" w:hRule="atLeast"/>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民宗局</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民宗局</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民宗局</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拖顶乡洛玉吉力贡小组、书卡小组民族团结进步示范村建设项目</w:t>
            </w:r>
          </w:p>
        </w:tc>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（1）吉力贡小组：新建混凝土机耕道路678米，路基挡墙长164.9m。</w:t>
            </w:r>
          </w:p>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（2）书卡小组：新建混凝土机耕道路685.6米，路基挡墙长82m。</w:t>
            </w:r>
          </w:p>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（3）吾玖、格通、玖都小组：新建混凝土机耕道路1332.5m，路基挡墙长271.3m。及其他附属工程 </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199.46</w:t>
            </w:r>
          </w:p>
        </w:tc>
        <w:tc>
          <w:tcPr>
            <w:tcW w:w="2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199.46</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改善灌群众基础设施，提升人居环境，有效提升群众民族团结氛围、凝聚民族文化，巩固洛玉村民族团结进步创建成效，促进民族团结进步创建工作更加贴近实际、贴近生活、贴近群众，取得实实在在的成效。受益84户446人。</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16"/>
                <w:szCs w:val="16"/>
                <w:u w:val="none"/>
              </w:rPr>
            </w:pPr>
          </w:p>
        </w:tc>
      </w:tr>
    </w:tbl>
    <w:p>
      <w:pPr>
        <w:rPr>
          <w:rFonts w:hint="eastAsia" w:ascii="仿宋_GB2312" w:hAnsi="仿宋_GB2312" w:eastAsia="仿宋_GB2312" w:cs="仿宋_GB2312"/>
          <w:sz w:val="20"/>
          <w:szCs w:val="20"/>
          <w:lang w:val="en-US" w:eastAsia="zh-CN"/>
        </w:rPr>
      </w:pPr>
    </w:p>
    <w:p>
      <w:pPr>
        <w:jc w:val="both"/>
        <w:rPr>
          <w:rFonts w:hint="eastAsia" w:ascii="仿宋_GB2312" w:hAnsi="仿宋_GB2312" w:eastAsia="仿宋_GB2312" w:cs="仿宋_GB2312"/>
          <w:b/>
          <w:bCs/>
          <w:sz w:val="32"/>
          <w:szCs w:val="32"/>
          <w:lang w:val="en-US" w:eastAsia="zh-CN"/>
        </w:rPr>
        <w:sectPr>
          <w:headerReference r:id="rId6" w:type="default"/>
          <w:footerReference r:id="rId7" w:type="default"/>
          <w:pgSz w:w="16838" w:h="11906" w:orient="landscape"/>
          <w:pgMar w:top="1800" w:right="1440" w:bottom="1800" w:left="1440" w:header="851" w:footer="992" w:gutter="0"/>
          <w:pgNumType w:fmt="decimal" w:start="4"/>
          <w:cols w:space="720" w:num="1"/>
          <w:docGrid w:type="lines" w:linePitch="312" w:charSpace="0"/>
        </w:sectPr>
      </w:pPr>
    </w:p>
    <w:tbl>
      <w:tblPr>
        <w:tblStyle w:val="7"/>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735"/>
        <w:gridCol w:w="553"/>
        <w:gridCol w:w="1510"/>
        <w:gridCol w:w="650"/>
        <w:gridCol w:w="1653"/>
        <w:gridCol w:w="597"/>
        <w:gridCol w:w="24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35" w:type="dxa"/>
            <w:tcBorders>
              <w:top w:val="single" w:color="FEFEFE" w:sz="8" w:space="0"/>
              <w:left w:val="single" w:color="FEFEFE" w:sz="8" w:space="0"/>
              <w:bottom w:val="single" w:color="D1B661" w:sz="24" w:space="0"/>
              <w:right w:val="single" w:color="FEFEFE" w:sz="8" w:space="0"/>
            </w:tcBorders>
            <w:shd w:val="clear" w:color="auto" w:fill="FEFEFE"/>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附件2</w:t>
            </w:r>
          </w:p>
        </w:tc>
        <w:tc>
          <w:tcPr>
            <w:tcW w:w="735" w:type="dxa"/>
            <w:tcBorders>
              <w:top w:val="single" w:color="FEFEFE" w:sz="8" w:space="0"/>
              <w:left w:val="single" w:color="FEFEFE" w:sz="8" w:space="0"/>
              <w:bottom w:val="single" w:color="D1B661" w:sz="24" w:space="0"/>
              <w:right w:val="single" w:color="FEFEFE" w:sz="8" w:space="0"/>
            </w:tcBorders>
            <w:shd w:val="clear" w:color="auto" w:fill="FEFEFE"/>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53" w:type="dxa"/>
            <w:tcBorders>
              <w:top w:val="single" w:color="FEFEFE" w:sz="8" w:space="0"/>
              <w:left w:val="single" w:color="FEFEFE" w:sz="8" w:space="0"/>
              <w:bottom w:val="single" w:color="D1B661" w:sz="24" w:space="0"/>
              <w:right w:val="single" w:color="FEFEFE" w:sz="8" w:space="0"/>
            </w:tcBorders>
            <w:shd w:val="clear" w:color="auto" w:fill="FEFEFE"/>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510" w:type="dxa"/>
            <w:tcBorders>
              <w:top w:val="single" w:color="FEFEFE" w:sz="8" w:space="0"/>
              <w:left w:val="single" w:color="FEFEFE" w:sz="8" w:space="0"/>
              <w:bottom w:val="single" w:color="D1B661" w:sz="24" w:space="0"/>
              <w:right w:val="single" w:color="FEFEFE" w:sz="8" w:space="0"/>
            </w:tcBorders>
            <w:shd w:val="clear" w:color="auto" w:fill="FEFEFE"/>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650" w:type="dxa"/>
            <w:tcBorders>
              <w:top w:val="single" w:color="FEFEFE" w:sz="8" w:space="0"/>
              <w:left w:val="single" w:color="FEFEFE" w:sz="8" w:space="0"/>
              <w:bottom w:val="single" w:color="D1B661" w:sz="24" w:space="0"/>
              <w:right w:val="single" w:color="FEFEFE" w:sz="8" w:space="0"/>
            </w:tcBorders>
            <w:shd w:val="clear" w:color="auto" w:fill="FEFEFE"/>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53" w:type="dxa"/>
            <w:tcBorders>
              <w:top w:val="single" w:color="FEFEFE" w:sz="8" w:space="0"/>
              <w:left w:val="single" w:color="FEFEFE" w:sz="8" w:space="0"/>
              <w:bottom w:val="single" w:color="D1B661" w:sz="24" w:space="0"/>
              <w:right w:val="single" w:color="FEFEFE" w:sz="8" w:space="0"/>
            </w:tcBorders>
            <w:shd w:val="clear" w:color="auto" w:fill="FEFEFE"/>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97" w:type="dxa"/>
            <w:tcBorders>
              <w:top w:val="single" w:color="FEFEFE" w:sz="8" w:space="0"/>
              <w:left w:val="single" w:color="FEFEFE" w:sz="8" w:space="0"/>
              <w:bottom w:val="single" w:color="D1B661" w:sz="24" w:space="0"/>
              <w:right w:val="single" w:color="FEFEFE" w:sz="8" w:space="0"/>
            </w:tcBorders>
            <w:shd w:val="clear" w:color="auto" w:fill="FEFEFE"/>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40" w:type="dxa"/>
            <w:tcBorders>
              <w:top w:val="single" w:color="FEFEFE" w:sz="8" w:space="0"/>
              <w:left w:val="single" w:color="FEFEFE" w:sz="8" w:space="0"/>
              <w:bottom w:val="single" w:color="D1B661" w:sz="24" w:space="0"/>
              <w:right w:val="single" w:color="FEFEFE" w:sz="8" w:space="0"/>
            </w:tcBorders>
            <w:shd w:val="clear" w:color="auto" w:fill="FEFEFE"/>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20" w:type="dxa"/>
            <w:tcBorders>
              <w:top w:val="single" w:color="FEFEFE" w:sz="8" w:space="0"/>
              <w:left w:val="single" w:color="FEFEFE" w:sz="8" w:space="0"/>
              <w:bottom w:val="single" w:color="D1B661" w:sz="24" w:space="0"/>
              <w:right w:val="single" w:color="FEFEFE" w:sz="8" w:space="0"/>
            </w:tcBorders>
            <w:shd w:val="clear" w:color="auto" w:fill="FEFEFE"/>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93" w:type="dxa"/>
            <w:gridSpan w:val="9"/>
            <w:tcBorders>
              <w:top w:val="single" w:color="D1B661" w:sz="24" w:space="0"/>
              <w:left w:val="single" w:color="FEFEFE" w:sz="8" w:space="0"/>
              <w:bottom w:val="single" w:color="auto" w:sz="4" w:space="0"/>
              <w:right w:val="single" w:color="FEFEFE" w:sz="8" w:space="0"/>
            </w:tcBorders>
            <w:shd w:val="clear" w:color="auto" w:fill="EBEBEB"/>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32"/>
                <w:szCs w:val="32"/>
                <w:highlight w:val="none"/>
                <w:u w:val="none"/>
              </w:rPr>
            </w:pPr>
            <w:r>
              <w:rPr>
                <w:rFonts w:hint="eastAsia" w:ascii="宋体" w:hAnsi="宋体" w:eastAsia="宋体" w:cs="宋体"/>
                <w:b/>
                <w:i w:val="0"/>
                <w:color w:val="auto"/>
                <w:kern w:val="0"/>
                <w:sz w:val="28"/>
                <w:szCs w:val="28"/>
                <w:highlight w:val="none"/>
                <w:u w:val="none"/>
                <w:lang w:val="en-US" w:eastAsia="zh-CN" w:bidi="ar"/>
              </w:rPr>
              <w:t>德钦县202</w:t>
            </w:r>
            <w:r>
              <w:rPr>
                <w:rFonts w:hint="eastAsia" w:ascii="宋体" w:hAnsi="宋体" w:cs="宋体"/>
                <w:b/>
                <w:i w:val="0"/>
                <w:color w:val="auto"/>
                <w:kern w:val="0"/>
                <w:sz w:val="28"/>
                <w:szCs w:val="28"/>
                <w:highlight w:val="none"/>
                <w:u w:val="none"/>
                <w:lang w:val="en-US" w:eastAsia="zh-CN" w:bidi="ar"/>
              </w:rPr>
              <w:t>3</w:t>
            </w:r>
            <w:r>
              <w:rPr>
                <w:rFonts w:hint="eastAsia" w:ascii="宋体" w:hAnsi="宋体" w:eastAsia="宋体" w:cs="宋体"/>
                <w:b/>
                <w:i w:val="0"/>
                <w:color w:val="auto"/>
                <w:kern w:val="0"/>
                <w:sz w:val="28"/>
                <w:szCs w:val="28"/>
                <w:highlight w:val="none"/>
                <w:u w:val="none"/>
                <w:lang w:val="en-US" w:eastAsia="zh-CN" w:bidi="ar"/>
              </w:rPr>
              <w:t>年第一批统筹整合财政涉农资金项目绩效目标申报表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293" w:type="dxa"/>
            <w:gridSpan w:val="9"/>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2023" w:type="dxa"/>
            <w:gridSpan w:val="3"/>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项目名称</w:t>
            </w:r>
          </w:p>
        </w:tc>
        <w:tc>
          <w:tcPr>
            <w:tcW w:w="2160" w:type="dxa"/>
            <w:gridSpan w:val="2"/>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color w:val="auto"/>
                <w:sz w:val="21"/>
                <w:szCs w:val="21"/>
                <w:highlight w:val="none"/>
                <w:lang w:val="en-US" w:eastAsia="zh-CN"/>
              </w:rPr>
              <w:t>拖顶乡洛玉吉力贡小组、书卡小组民族团结进步示范村建设项目</w:t>
            </w:r>
          </w:p>
        </w:tc>
        <w:tc>
          <w:tcPr>
            <w:tcW w:w="2250" w:type="dxa"/>
            <w:gridSpan w:val="2"/>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项目负责人及联系电话</w:t>
            </w:r>
          </w:p>
        </w:tc>
        <w:tc>
          <w:tcPr>
            <w:tcW w:w="1860" w:type="dxa"/>
            <w:gridSpan w:val="2"/>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2023" w:type="dxa"/>
            <w:gridSpan w:val="3"/>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主管部门</w:t>
            </w:r>
          </w:p>
        </w:tc>
        <w:tc>
          <w:tcPr>
            <w:tcW w:w="2160" w:type="dxa"/>
            <w:gridSpan w:val="2"/>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县民宗局</w:t>
            </w:r>
          </w:p>
        </w:tc>
        <w:tc>
          <w:tcPr>
            <w:tcW w:w="2250" w:type="dxa"/>
            <w:gridSpan w:val="2"/>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实施单位</w:t>
            </w:r>
          </w:p>
        </w:tc>
        <w:tc>
          <w:tcPr>
            <w:tcW w:w="1860" w:type="dxa"/>
            <w:gridSpan w:val="2"/>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2023" w:type="dxa"/>
            <w:gridSpan w:val="3"/>
            <w:vMerge w:val="restart"/>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资金情况</w:t>
            </w:r>
          </w:p>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（万元）</w:t>
            </w:r>
          </w:p>
        </w:tc>
        <w:tc>
          <w:tcPr>
            <w:tcW w:w="2160" w:type="dxa"/>
            <w:gridSpan w:val="2"/>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年度资金总额：</w:t>
            </w:r>
          </w:p>
        </w:tc>
        <w:tc>
          <w:tcPr>
            <w:tcW w:w="4110" w:type="dxa"/>
            <w:gridSpan w:val="4"/>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199.46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023" w:type="dxa"/>
            <w:gridSpan w:val="3"/>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2160" w:type="dxa"/>
            <w:gridSpan w:val="2"/>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其中：财政拨款</w:t>
            </w:r>
          </w:p>
        </w:tc>
        <w:tc>
          <w:tcPr>
            <w:tcW w:w="4110" w:type="dxa"/>
            <w:gridSpan w:val="4"/>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199.46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2023" w:type="dxa"/>
            <w:gridSpan w:val="3"/>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2160" w:type="dxa"/>
            <w:gridSpan w:val="2"/>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 其他资金</w:t>
            </w:r>
          </w:p>
        </w:tc>
        <w:tc>
          <w:tcPr>
            <w:tcW w:w="4110" w:type="dxa"/>
            <w:gridSpan w:val="4"/>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总</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体</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目</w:t>
            </w:r>
          </w:p>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标</w:t>
            </w:r>
          </w:p>
        </w:tc>
        <w:tc>
          <w:tcPr>
            <w:tcW w:w="7558" w:type="dxa"/>
            <w:gridSpan w:val="8"/>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7558" w:type="dxa"/>
            <w:gridSpan w:val="8"/>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ind w:firstLine="420" w:firstLineChars="200"/>
              <w:jc w:val="left"/>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color w:val="auto"/>
                <w:sz w:val="21"/>
                <w:szCs w:val="21"/>
                <w:highlight w:val="none"/>
                <w:lang w:val="en-US" w:eastAsia="zh-CN"/>
              </w:rPr>
              <w:t>预计投入199.46万元改善灌群众基础设施，提升人居环境，有效提升群众民族团结氛围、凝聚民族文化，巩固洛玉村民族团结进步创建成效，促进民族团结进步创建工作更加贴近实际、贴近生活、贴近群众，取得实实在在的成效。受益84户446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绩</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效</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指</w:t>
            </w:r>
          </w:p>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标</w:t>
            </w:r>
          </w:p>
        </w:tc>
        <w:tc>
          <w:tcPr>
            <w:tcW w:w="1288" w:type="dxa"/>
            <w:gridSpan w:val="2"/>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一级指标</w:t>
            </w:r>
          </w:p>
        </w:tc>
        <w:tc>
          <w:tcPr>
            <w:tcW w:w="1510" w:type="dxa"/>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二级指标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三级指标</w:t>
            </w:r>
          </w:p>
        </w:tc>
        <w:tc>
          <w:tcPr>
            <w:tcW w:w="1620" w:type="dxa"/>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产出指标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数量指标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left"/>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eastAsia="zh-CN"/>
              </w:rPr>
              <w:t>预计建设混凝土机耕路</w:t>
            </w:r>
            <w:r>
              <w:rPr>
                <w:rFonts w:hint="eastAsia" w:ascii="仿宋_GB2312" w:hAnsi="仿宋_GB2312" w:eastAsia="仿宋_GB2312" w:cs="仿宋_GB2312"/>
                <w:i w:val="0"/>
                <w:color w:val="auto"/>
                <w:sz w:val="21"/>
                <w:szCs w:val="21"/>
                <w:highlight w:val="none"/>
                <w:u w:val="none"/>
                <w:lang w:val="en-US" w:eastAsia="zh-CN"/>
              </w:rPr>
              <w:t>（米）</w:t>
            </w:r>
          </w:p>
        </w:tc>
        <w:tc>
          <w:tcPr>
            <w:tcW w:w="1620" w:type="dxa"/>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≥2696.1米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left"/>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eastAsia="zh-CN"/>
              </w:rPr>
              <w:t>预计建设路基挡墙</w:t>
            </w:r>
            <w:r>
              <w:rPr>
                <w:rFonts w:hint="eastAsia" w:ascii="仿宋_GB2312" w:hAnsi="仿宋_GB2312" w:eastAsia="仿宋_GB2312" w:cs="仿宋_GB2312"/>
                <w:i w:val="0"/>
                <w:color w:val="auto"/>
                <w:sz w:val="21"/>
                <w:szCs w:val="21"/>
                <w:highlight w:val="none"/>
                <w:u w:val="none"/>
                <w:lang w:val="en-US" w:eastAsia="zh-CN"/>
              </w:rPr>
              <w:t>（米）</w:t>
            </w:r>
          </w:p>
        </w:tc>
        <w:tc>
          <w:tcPr>
            <w:tcW w:w="1620" w:type="dxa"/>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≥518.2米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left"/>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eastAsia="zh-CN"/>
              </w:rPr>
              <w:t>受益人数</w:t>
            </w:r>
            <w:r>
              <w:rPr>
                <w:rFonts w:hint="eastAsia" w:ascii="仿宋_GB2312" w:hAnsi="仿宋_GB2312" w:eastAsia="仿宋_GB2312" w:cs="仿宋_GB2312"/>
                <w:i w:val="0"/>
                <w:color w:val="auto"/>
                <w:sz w:val="21"/>
                <w:szCs w:val="21"/>
                <w:highlight w:val="none"/>
                <w:u w:val="none"/>
                <w:lang w:val="en-US" w:eastAsia="zh-CN"/>
              </w:rPr>
              <w:t>（人）</w:t>
            </w:r>
          </w:p>
        </w:tc>
        <w:tc>
          <w:tcPr>
            <w:tcW w:w="1620" w:type="dxa"/>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lang w:val="en-US"/>
              </w:rPr>
            </w:pPr>
            <w:r>
              <w:rPr>
                <w:rFonts w:hint="eastAsia" w:ascii="仿宋_GB2312" w:hAnsi="仿宋_GB2312" w:eastAsia="仿宋_GB2312" w:cs="仿宋_GB2312"/>
                <w:i w:val="0"/>
                <w:color w:val="auto"/>
                <w:sz w:val="21"/>
                <w:szCs w:val="21"/>
                <w:highlight w:val="none"/>
                <w:u w:val="none"/>
                <w:lang w:val="en-US" w:eastAsia="zh-CN"/>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left"/>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受益户数（户）</w:t>
            </w:r>
          </w:p>
        </w:tc>
        <w:tc>
          <w:tcPr>
            <w:tcW w:w="1620" w:type="dxa"/>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lang w:val="en-US"/>
              </w:rPr>
            </w:pPr>
            <w:r>
              <w:rPr>
                <w:rFonts w:hint="eastAsia" w:ascii="仿宋_GB2312" w:hAnsi="仿宋_GB2312" w:eastAsia="仿宋_GB2312" w:cs="仿宋_GB2312"/>
                <w:i w:val="0"/>
                <w:color w:val="auto"/>
                <w:sz w:val="21"/>
                <w:szCs w:val="21"/>
                <w:highlight w:val="none"/>
                <w:u w:val="none"/>
                <w:lang w:val="en-US" w:eastAsia="zh-CN"/>
              </w:rPr>
              <w:t>≥84户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质量指标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left"/>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工程质量达标率（</w:t>
            </w:r>
            <w:r>
              <w:rPr>
                <w:rFonts w:hint="eastAsia" w:ascii="仿宋_GB2312" w:hAnsi="仿宋_GB2312" w:eastAsia="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sz w:val="21"/>
                <w:szCs w:val="21"/>
                <w:highlight w:val="none"/>
                <w:u w:val="none"/>
                <w:lang w:eastAsia="zh-CN"/>
              </w:rPr>
              <w:t>）</w:t>
            </w:r>
          </w:p>
        </w:tc>
        <w:tc>
          <w:tcPr>
            <w:tcW w:w="1620" w:type="dxa"/>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时效指标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left"/>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完工时间</w:t>
            </w:r>
          </w:p>
        </w:tc>
        <w:tc>
          <w:tcPr>
            <w:tcW w:w="1620" w:type="dxa"/>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2023年12月31日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成本指标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left"/>
              <w:rPr>
                <w:rFonts w:hint="eastAsia" w:ascii="仿宋_GB2312" w:hAnsi="仿宋_GB2312" w:eastAsia="仿宋_GB2312" w:cs="仿宋_GB2312"/>
                <w:i w:val="0"/>
                <w:color w:val="auto"/>
                <w:kern w:val="2"/>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eastAsia="zh-CN"/>
              </w:rPr>
              <w:t>项目单价成本控制率（</w:t>
            </w:r>
            <w:r>
              <w:rPr>
                <w:rFonts w:hint="eastAsia" w:ascii="仿宋_GB2312" w:hAnsi="仿宋_GB2312" w:eastAsia="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sz w:val="21"/>
                <w:szCs w:val="21"/>
                <w:highlight w:val="none"/>
                <w:u w:val="none"/>
                <w:lang w:eastAsia="zh-CN"/>
              </w:rPr>
              <w:t>）</w:t>
            </w:r>
          </w:p>
        </w:tc>
        <w:tc>
          <w:tcPr>
            <w:tcW w:w="1620" w:type="dxa"/>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kern w:val="2"/>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社会效益</w:t>
            </w:r>
          </w:p>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left"/>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有利于促进民族团结</w:t>
            </w:r>
          </w:p>
        </w:tc>
        <w:tc>
          <w:tcPr>
            <w:tcW w:w="1620" w:type="dxa"/>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left"/>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有利于改善群众生产生活</w:t>
            </w:r>
          </w:p>
        </w:tc>
        <w:tc>
          <w:tcPr>
            <w:tcW w:w="1620" w:type="dxa"/>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可持续影响</w:t>
            </w:r>
          </w:p>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left"/>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建立民族团结维稳长效机制</w:t>
            </w:r>
          </w:p>
        </w:tc>
        <w:tc>
          <w:tcPr>
            <w:tcW w:w="1620" w:type="dxa"/>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lang w:eastAsia="zh-CN"/>
              </w:rPr>
              <w:t>持续建立健全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EBEBEB"/>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288" w:type="dxa"/>
            <w:gridSpan w:val="2"/>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满意度指标</w:t>
            </w:r>
          </w:p>
        </w:tc>
        <w:tc>
          <w:tcPr>
            <w:tcW w:w="1510" w:type="dxa"/>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服务对象</w:t>
            </w:r>
          </w:p>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满意度指标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left"/>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受益</w:t>
            </w:r>
            <w:r>
              <w:rPr>
                <w:rFonts w:hint="eastAsia" w:ascii="仿宋_GB2312" w:hAnsi="仿宋_GB2312" w:eastAsia="仿宋_GB2312" w:cs="仿宋_GB2312"/>
                <w:i w:val="0"/>
                <w:color w:val="auto"/>
                <w:sz w:val="21"/>
                <w:szCs w:val="21"/>
                <w:highlight w:val="none"/>
                <w:u w:val="none"/>
                <w:lang w:eastAsia="zh-CN"/>
              </w:rPr>
              <w:t>群众</w:t>
            </w:r>
            <w:r>
              <w:rPr>
                <w:rFonts w:hint="eastAsia" w:ascii="仿宋_GB2312" w:hAnsi="仿宋_GB2312" w:eastAsia="仿宋_GB2312" w:cs="仿宋_GB2312"/>
                <w:i w:val="0"/>
                <w:color w:val="auto"/>
                <w:sz w:val="21"/>
                <w:szCs w:val="21"/>
                <w:highlight w:val="none"/>
                <w:u w:val="none"/>
              </w:rPr>
              <w:t>满意度（%）</w:t>
            </w:r>
          </w:p>
        </w:tc>
        <w:tc>
          <w:tcPr>
            <w:tcW w:w="1620" w:type="dxa"/>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jc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rPr>
              <w:t>≥</w:t>
            </w:r>
            <w:r>
              <w:rPr>
                <w:rFonts w:hint="eastAsia" w:ascii="仿宋_GB2312" w:hAnsi="仿宋_GB2312" w:eastAsia="仿宋_GB2312" w:cs="仿宋_GB2312"/>
                <w:i w:val="0"/>
                <w:color w:val="auto"/>
                <w:sz w:val="21"/>
                <w:szCs w:val="21"/>
                <w:highlight w:val="none"/>
                <w:u w:val="none"/>
                <w:lang w:val="en-US" w:eastAsia="zh-CN"/>
              </w:rPr>
              <w:t>90</w:t>
            </w:r>
            <w:r>
              <w:rPr>
                <w:rFonts w:hint="eastAsia" w:ascii="仿宋_GB2312" w:hAnsi="仿宋_GB2312" w:eastAsia="仿宋_GB2312" w:cs="仿宋_GB2312"/>
                <w:i w:val="0"/>
                <w:color w:val="auto"/>
                <w:sz w:val="21"/>
                <w:szCs w:val="21"/>
                <w:highlight w:val="none"/>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93" w:type="dxa"/>
            <w:gridSpan w:val="9"/>
            <w:tcBorders>
              <w:top w:val="single" w:color="auto" w:sz="4" w:space="0"/>
              <w:left w:val="single" w:color="auto" w:sz="4" w:space="0"/>
              <w:bottom w:val="single" w:color="auto" w:sz="4" w:space="0"/>
              <w:right w:val="single" w:color="auto" w:sz="4" w:space="0"/>
            </w:tcBorders>
            <w:shd w:val="clear" w:color="auto" w:fill="E0E0E0"/>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auto"/>
                <w:sz w:val="21"/>
                <w:szCs w:val="21"/>
                <w:highlight w:val="none"/>
                <w:u w:val="none"/>
                <w:lang w:val="en-US"/>
              </w:rPr>
            </w:pPr>
            <w:r>
              <w:rPr>
                <w:rFonts w:hint="eastAsia" w:ascii="仿宋_GB2312" w:hAnsi="仿宋_GB2312" w:eastAsia="仿宋_GB2312" w:cs="仿宋_GB2312"/>
                <w:i w:val="0"/>
                <w:color w:val="auto"/>
                <w:kern w:val="0"/>
                <w:sz w:val="21"/>
                <w:szCs w:val="21"/>
                <w:highlight w:val="none"/>
                <w:u w:val="none"/>
                <w:lang w:val="en-US" w:eastAsia="zh-CN" w:bidi="ar"/>
              </w:rPr>
              <w:t>经办人（电话）：      单位负责人：       上报日期：2023年3月 日</w:t>
            </w:r>
          </w:p>
        </w:tc>
      </w:tr>
    </w:tbl>
    <w:p>
      <w:pPr>
        <w:tabs>
          <w:tab w:val="left" w:pos="606"/>
        </w:tabs>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31B86C48-B242-4E24-B991-D5F39EABCBDD}"/>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E8A9D450-A8D1-4157-A366-2948C208F5E0}"/>
  </w:font>
  <w:font w:name="楷体">
    <w:panose1 w:val="02010609060101010101"/>
    <w:charset w:val="86"/>
    <w:family w:val="auto"/>
    <w:pitch w:val="default"/>
    <w:sig w:usb0="800002BF" w:usb1="38CF7CFA" w:usb2="00000016" w:usb3="00000000" w:csb0="00040001" w:csb1="00000000"/>
    <w:embedRegular r:id="rId3" w:fontKey="{36F773A5-9667-4473-A2C1-729659679789}"/>
  </w:font>
  <w:font w:name="方正仿宋简体">
    <w:altName w:val="微软雅黑"/>
    <w:panose1 w:val="02000000000000000000"/>
    <w:charset w:val="86"/>
    <w:family w:val="script"/>
    <w:pitch w:val="default"/>
    <w:sig w:usb0="00000000" w:usb1="00000000" w:usb2="00000012" w:usb3="00000000" w:csb0="00040001" w:csb1="00000000"/>
    <w:embedRegular r:id="rId4" w:fontKey="{4F59DAB5-7977-4C64-9B02-0D9D827028CC}"/>
  </w:font>
  <w:font w:name="仿宋">
    <w:panose1 w:val="02010609060101010101"/>
    <w:charset w:val="86"/>
    <w:family w:val="auto"/>
    <w:pitch w:val="default"/>
    <w:sig w:usb0="800002BF" w:usb1="38CF7CFA" w:usb2="00000016" w:usb3="00000000" w:csb0="00040001" w:csb1="00000000"/>
    <w:embedRegular r:id="rId5" w:fontKey="{700E8AB6-A981-4C26-8853-B06974E0A71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9fe43055-f45d-4f5f-a716-3e5044ceac6d"/>
  </w:docVars>
  <w:rsids>
    <w:rsidRoot w:val="48484976"/>
    <w:rsid w:val="00D22687"/>
    <w:rsid w:val="025D08AA"/>
    <w:rsid w:val="0422003D"/>
    <w:rsid w:val="0433025A"/>
    <w:rsid w:val="11C162AC"/>
    <w:rsid w:val="19FD555F"/>
    <w:rsid w:val="1AD031C7"/>
    <w:rsid w:val="1D72025A"/>
    <w:rsid w:val="29601A3F"/>
    <w:rsid w:val="2B26703D"/>
    <w:rsid w:val="2EF83937"/>
    <w:rsid w:val="30915A7F"/>
    <w:rsid w:val="39D87059"/>
    <w:rsid w:val="3AA27283"/>
    <w:rsid w:val="40454BCA"/>
    <w:rsid w:val="408A68FA"/>
    <w:rsid w:val="48484976"/>
    <w:rsid w:val="4D5714B4"/>
    <w:rsid w:val="56E717A3"/>
    <w:rsid w:val="5ADF2B59"/>
    <w:rsid w:val="626F711E"/>
    <w:rsid w:val="63AB0049"/>
    <w:rsid w:val="653F6617"/>
    <w:rsid w:val="66A94DF8"/>
    <w:rsid w:val="6966303B"/>
    <w:rsid w:val="6C533A45"/>
    <w:rsid w:val="6E123B52"/>
    <w:rsid w:val="7232010D"/>
    <w:rsid w:val="7703545E"/>
    <w:rsid w:val="78187326"/>
    <w:rsid w:val="7A8174CC"/>
    <w:rsid w:val="7CC052BC"/>
    <w:rsid w:val="7DCE0E1D"/>
    <w:rsid w:val="7FAC5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spacing w:line="600" w:lineRule="exact"/>
      <w:ind w:firstLine="630"/>
    </w:pPr>
    <w:rPr>
      <w:rFonts w:eastAsia="仿宋_GB2312" w:cs="仿宋_GB2312"/>
      <w:sz w:val="32"/>
      <w:szCs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qFormat/>
    <w:uiPriority w:val="99"/>
    <w:pPr>
      <w:ind w:firstLine="420" w:firstLineChars="200"/>
    </w:pPr>
    <w:rPr>
      <w:rFonts w:ascii="Times New Roman" w:hAnsi="Times New Roman"/>
    </w:rPr>
  </w:style>
  <w:style w:type="character" w:styleId="9">
    <w:name w:val="page number"/>
    <w:basedOn w:val="8"/>
    <w:qFormat/>
    <w:uiPriority w:val="0"/>
  </w:style>
  <w:style w:type="character" w:customStyle="1" w:styleId="10">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5</Pages>
  <Words>1654</Words>
  <Characters>1800</Characters>
  <Lines>0</Lines>
  <Paragraphs>0</Paragraphs>
  <TotalTime>0</TotalTime>
  <ScaleCrop>false</ScaleCrop>
  <LinksUpToDate>false</LinksUpToDate>
  <CharactersWithSpaces>1841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2022-03-18T09:01:00Z</dcterms:created>
  <dc:creator>雾里看花</dc:creator>
  <cp:lastModifiedBy>扶桑</cp:lastModifiedBy>
  <cp:lastPrinted>2023-03-23T09:23:00Z</cp:lastPrinted>
  <dcterms:modified xsi:type="dcterms:W3CDTF">2024-07-18T08:04:40Z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7E7CDB906C044DD3870CD3DE6522C0B8</vt:lpwstr>
  </property>
</Properties>
</file>